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103A" w14:textId="7E3FAC90" w:rsidR="00DB1B93" w:rsidRPr="008C4F55" w:rsidRDefault="00C4393F" w:rsidP="00CA10E6">
      <w:pPr>
        <w:spacing w:beforeLines="60" w:before="144" w:afterLines="60" w:after="144"/>
        <w:ind w:left="-288"/>
        <w:rPr>
          <w:rFonts w:ascii="Georgia" w:hAnsi="Georgia"/>
          <w:b/>
          <w:bCs/>
          <w:color w:val="00B0F0"/>
          <w:sz w:val="28"/>
          <w:szCs w:val="36"/>
        </w:rPr>
      </w:pPr>
      <w:r w:rsidRPr="00F02496">
        <w:rPr>
          <w:rFonts w:ascii="Georgia" w:hAnsi="Georgia"/>
          <w:b/>
          <w:bCs/>
          <w:color w:val="00B0F0"/>
          <w:sz w:val="36"/>
          <w:szCs w:val="44"/>
        </w:rPr>
        <w:t>I</w:t>
      </w:r>
      <w:r w:rsidR="00EC52EE" w:rsidRPr="00F02496">
        <w:rPr>
          <w:rFonts w:ascii="Georgia" w:hAnsi="Georgia"/>
          <w:b/>
          <w:bCs/>
          <w:color w:val="00B0F0"/>
          <w:sz w:val="36"/>
          <w:szCs w:val="44"/>
        </w:rPr>
        <w:t>f</w:t>
      </w:r>
      <w:r w:rsidRPr="00F02496">
        <w:rPr>
          <w:rFonts w:ascii="Georgia" w:hAnsi="Georgia"/>
          <w:b/>
          <w:bCs/>
          <w:color w:val="00B0F0"/>
          <w:sz w:val="36"/>
          <w:szCs w:val="44"/>
        </w:rPr>
        <w:t xml:space="preserve"> ESG is Considered Green</w:t>
      </w:r>
      <w:r w:rsidR="0022327D" w:rsidRPr="00F02496">
        <w:rPr>
          <w:rFonts w:ascii="Georgia" w:hAnsi="Georgia"/>
          <w:b/>
          <w:bCs/>
          <w:color w:val="00B0F0"/>
          <w:sz w:val="36"/>
          <w:szCs w:val="44"/>
        </w:rPr>
        <w:t xml:space="preserve"> – </w:t>
      </w:r>
      <w:r w:rsidRPr="00F02496">
        <w:rPr>
          <w:rFonts w:ascii="Georgia" w:hAnsi="Georgia"/>
          <w:b/>
          <w:bCs/>
          <w:color w:val="00B0F0"/>
          <w:sz w:val="36"/>
          <w:szCs w:val="44"/>
        </w:rPr>
        <w:t xml:space="preserve"> </w:t>
      </w:r>
      <w:r w:rsidR="00873A5C" w:rsidRPr="00F02496">
        <w:rPr>
          <w:rFonts w:ascii="Georgia" w:hAnsi="Georgia"/>
          <w:b/>
          <w:bCs/>
          <w:color w:val="00B0F0"/>
          <w:sz w:val="40"/>
          <w:szCs w:val="48"/>
        </w:rPr>
        <w:br/>
      </w:r>
      <w:r w:rsidRPr="00F02496">
        <w:rPr>
          <w:rFonts w:ascii="Georgia" w:hAnsi="Georgia"/>
          <w:b/>
          <w:bCs/>
          <w:color w:val="00B0F0"/>
          <w:sz w:val="36"/>
          <w:szCs w:val="44"/>
        </w:rPr>
        <w:t>Why is There So Much Gray?</w:t>
      </w:r>
    </w:p>
    <w:p w14:paraId="6C63598E" w14:textId="7BAA2D72" w:rsidR="007304CF" w:rsidRPr="002A2D75" w:rsidRDefault="00AD5A23" w:rsidP="00F547FA">
      <w:pPr>
        <w:spacing w:beforeLines="60" w:before="144" w:afterLines="60" w:after="144" w:line="360" w:lineRule="auto"/>
        <w:ind w:left="-288"/>
        <w:rPr>
          <w:rFonts w:ascii="Georgia" w:hAnsi="Georgia" w:cs="Arial"/>
          <w:b/>
          <w:bCs/>
          <w:color w:val="000000" w:themeColor="text1"/>
          <w:sz w:val="20"/>
          <w:szCs w:val="20"/>
        </w:rPr>
      </w:pPr>
      <w:r>
        <w:rPr>
          <w:rFonts w:ascii="Georgia" w:hAnsi="Georgia" w:cs="Arial"/>
          <w:b/>
          <w:bCs/>
          <w:color w:val="000000" w:themeColor="text1"/>
          <w:sz w:val="20"/>
          <w:szCs w:val="20"/>
        </w:rPr>
        <w:t>February</w:t>
      </w:r>
      <w:r w:rsidRPr="002A2D75">
        <w:rPr>
          <w:rFonts w:ascii="Georgia" w:hAnsi="Georgia" w:cs="Arial"/>
          <w:b/>
          <w:bCs/>
          <w:color w:val="000000" w:themeColor="text1"/>
          <w:sz w:val="20"/>
          <w:szCs w:val="20"/>
        </w:rPr>
        <w:t xml:space="preserve"> </w:t>
      </w:r>
      <w:r w:rsidR="007A5A9D" w:rsidRPr="002A2D75">
        <w:rPr>
          <w:rFonts w:ascii="Georgia" w:hAnsi="Georgia" w:cs="Arial"/>
          <w:b/>
          <w:bCs/>
          <w:color w:val="000000" w:themeColor="text1"/>
          <w:sz w:val="20"/>
          <w:szCs w:val="20"/>
        </w:rPr>
        <w:t>202</w:t>
      </w:r>
      <w:r w:rsidR="007A5A9D">
        <w:rPr>
          <w:rFonts w:ascii="Georgia" w:hAnsi="Georgia" w:cs="Arial"/>
          <w:b/>
          <w:bCs/>
          <w:color w:val="000000" w:themeColor="text1"/>
          <w:sz w:val="20"/>
          <w:szCs w:val="20"/>
        </w:rPr>
        <w:t>3</w:t>
      </w:r>
    </w:p>
    <w:p w14:paraId="7E62B577" w14:textId="49770FD2" w:rsidR="00825D1B" w:rsidRPr="007304CF" w:rsidRDefault="00D271D3" w:rsidP="00F547FA">
      <w:pPr>
        <w:spacing w:beforeLines="60" w:before="144" w:afterLines="60" w:after="144" w:line="360" w:lineRule="auto"/>
        <w:ind w:left="-288"/>
        <w:rPr>
          <w:rFonts w:ascii="Georgia" w:hAnsi="Georgia"/>
          <w:b/>
          <w:bCs/>
          <w:color w:val="00B0F0"/>
          <w:sz w:val="28"/>
          <w:szCs w:val="36"/>
        </w:rPr>
      </w:pPr>
      <w:r>
        <w:rPr>
          <w:rFonts w:ascii="Georgia" w:hAnsi="Georgia"/>
          <w:b/>
          <w:bCs/>
          <w:color w:val="00B0F0"/>
          <w:sz w:val="28"/>
          <w:szCs w:val="36"/>
        </w:rPr>
        <w:t xml:space="preserve">Challenging </w:t>
      </w:r>
      <w:r w:rsidR="00AD5A23">
        <w:rPr>
          <w:rFonts w:ascii="Georgia" w:hAnsi="Georgia"/>
          <w:b/>
          <w:bCs/>
          <w:color w:val="00B0F0"/>
          <w:sz w:val="28"/>
          <w:szCs w:val="36"/>
        </w:rPr>
        <w:t>D</w:t>
      </w:r>
      <w:r w:rsidR="005624C2">
        <w:rPr>
          <w:rFonts w:ascii="Georgia" w:hAnsi="Georgia"/>
          <w:b/>
          <w:bCs/>
          <w:color w:val="00B0F0"/>
          <w:sz w:val="28"/>
          <w:szCs w:val="36"/>
        </w:rPr>
        <w:t xml:space="preserve">ebates </w:t>
      </w:r>
      <w:r w:rsidR="00AD5A23">
        <w:rPr>
          <w:rFonts w:ascii="Georgia" w:hAnsi="Georgia"/>
          <w:b/>
          <w:bCs/>
          <w:color w:val="00B0F0"/>
          <w:sz w:val="28"/>
          <w:szCs w:val="36"/>
        </w:rPr>
        <w:t>Not Easily Resolved</w:t>
      </w:r>
    </w:p>
    <w:p w14:paraId="17A2EFEF" w14:textId="2E31DA15" w:rsidR="00291B5E" w:rsidRDefault="00C81CA8" w:rsidP="00EC52EE">
      <w:pPr>
        <w:spacing w:beforeLines="60" w:before="144" w:afterLines="60" w:after="144" w:line="360" w:lineRule="auto"/>
        <w:ind w:left="-288"/>
        <w:rPr>
          <w:rFonts w:ascii="Georgia" w:hAnsi="Georgia"/>
          <w:sz w:val="20"/>
          <w:szCs w:val="20"/>
        </w:rPr>
      </w:pPr>
      <w:r w:rsidRPr="00C81CA8">
        <w:rPr>
          <w:rFonts w:ascii="Georgia" w:hAnsi="Georgia"/>
          <w:sz w:val="20"/>
          <w:szCs w:val="20"/>
        </w:rPr>
        <w:t xml:space="preserve">Life’s most difficult debates are seldom straightforward to resolve – and that assumes resolution is achievable. Underlying arguments </w:t>
      </w:r>
      <w:r w:rsidR="000C3159">
        <w:rPr>
          <w:rFonts w:ascii="Georgia" w:hAnsi="Georgia"/>
          <w:sz w:val="20"/>
          <w:szCs w:val="20"/>
        </w:rPr>
        <w:t>are often filled with</w:t>
      </w:r>
      <w:r w:rsidRPr="00C81CA8">
        <w:rPr>
          <w:rFonts w:ascii="Georgia" w:hAnsi="Georgia"/>
          <w:sz w:val="20"/>
          <w:szCs w:val="20"/>
        </w:rPr>
        <w:t xml:space="preserve"> gray symbolized by the combination of valid counter-viewpoints and conflicting beliefs and priorities represented by opposing parties. Making those gray areas even more troublesome is a void (or dare we say avoidance) of clear and mutually accepted information </w:t>
      </w:r>
      <w:r w:rsidR="00F02496">
        <w:rPr>
          <w:rFonts w:ascii="Georgia" w:hAnsi="Georgia"/>
          <w:sz w:val="20"/>
          <w:szCs w:val="20"/>
        </w:rPr>
        <w:t>to</w:t>
      </w:r>
      <w:r w:rsidR="00AD5A23">
        <w:rPr>
          <w:rFonts w:ascii="Georgia" w:hAnsi="Georgia"/>
          <w:sz w:val="20"/>
          <w:szCs w:val="20"/>
        </w:rPr>
        <w:t xml:space="preserve"> which </w:t>
      </w:r>
      <w:r w:rsidRPr="00C81CA8">
        <w:rPr>
          <w:rFonts w:ascii="Georgia" w:hAnsi="Georgia"/>
          <w:sz w:val="20"/>
          <w:szCs w:val="20"/>
        </w:rPr>
        <w:t xml:space="preserve">all sides agree. In recent months, we have seen an uptick in headlines related to Environmental, Social and Governance “ESG” investing that, on the surface, have begun to paint the issues as starkly delineated – almost akin to right vs. wrong. Perhaps in an effort to sensationalize, some opinions have gone so far as to describe ESG investing as a “sham” </w:t>
      </w:r>
      <w:r w:rsidR="000C3159">
        <w:rPr>
          <w:rFonts w:ascii="Georgia" w:hAnsi="Georgia"/>
          <w:sz w:val="20"/>
          <w:szCs w:val="20"/>
        </w:rPr>
        <w:t>and</w:t>
      </w:r>
      <w:r w:rsidR="000C3159" w:rsidRPr="00C81CA8">
        <w:rPr>
          <w:rFonts w:ascii="Georgia" w:hAnsi="Georgia"/>
          <w:sz w:val="20"/>
          <w:szCs w:val="20"/>
        </w:rPr>
        <w:t xml:space="preserve"> </w:t>
      </w:r>
      <w:r w:rsidRPr="00C81CA8">
        <w:rPr>
          <w:rFonts w:ascii="Georgia" w:hAnsi="Georgia"/>
          <w:sz w:val="20"/>
          <w:szCs w:val="20"/>
        </w:rPr>
        <w:t xml:space="preserve">others have encouraged immediate divestment/boycott </w:t>
      </w:r>
      <w:r w:rsidR="000C3159">
        <w:rPr>
          <w:rFonts w:ascii="Georgia" w:hAnsi="Georgia"/>
          <w:sz w:val="20"/>
          <w:szCs w:val="20"/>
        </w:rPr>
        <w:t xml:space="preserve">of ESG </w:t>
      </w:r>
      <w:r w:rsidRPr="00C81CA8">
        <w:rPr>
          <w:rFonts w:ascii="Georgia" w:hAnsi="Georgia"/>
          <w:sz w:val="20"/>
          <w:szCs w:val="20"/>
        </w:rPr>
        <w:t xml:space="preserve">due to perceived conflicts of interest. </w:t>
      </w:r>
      <w:r w:rsidR="000C3159" w:rsidRPr="000C3159">
        <w:rPr>
          <w:rFonts w:ascii="Georgia" w:hAnsi="Georgia"/>
          <w:sz w:val="20"/>
          <w:szCs w:val="20"/>
        </w:rPr>
        <w:t xml:space="preserve"> </w:t>
      </w:r>
    </w:p>
    <w:p w14:paraId="06CBA48D" w14:textId="54285FBD" w:rsidR="00291B5E" w:rsidRPr="007304CF" w:rsidRDefault="003B4F0E" w:rsidP="00EC52EE">
      <w:pPr>
        <w:spacing w:beforeLines="60" w:before="144" w:afterLines="60" w:after="144" w:line="360" w:lineRule="auto"/>
        <w:ind w:left="-288"/>
        <w:rPr>
          <w:rFonts w:ascii="Georgia" w:hAnsi="Georgia"/>
          <w:b/>
          <w:bCs/>
          <w:color w:val="00B0F0"/>
          <w:sz w:val="28"/>
          <w:szCs w:val="36"/>
        </w:rPr>
      </w:pPr>
      <w:r>
        <w:rPr>
          <w:rFonts w:ascii="Georgia" w:hAnsi="Georgia"/>
          <w:b/>
          <w:bCs/>
          <w:color w:val="00B0F0"/>
          <w:sz w:val="28"/>
          <w:szCs w:val="36"/>
        </w:rPr>
        <w:t>Nascent State of ESG Investing</w:t>
      </w:r>
      <w:r w:rsidR="003A655C">
        <w:rPr>
          <w:rFonts w:ascii="Georgia" w:hAnsi="Georgia"/>
          <w:b/>
          <w:bCs/>
          <w:color w:val="00B0F0"/>
          <w:sz w:val="28"/>
          <w:szCs w:val="36"/>
        </w:rPr>
        <w:t xml:space="preserve"> </w:t>
      </w:r>
    </w:p>
    <w:p w14:paraId="3865A014" w14:textId="1FD399C5" w:rsidR="00F547FA" w:rsidRDefault="003B4F0E" w:rsidP="000C3159">
      <w:pPr>
        <w:spacing w:beforeLines="60" w:before="144" w:afterLines="60" w:after="144" w:line="360" w:lineRule="auto"/>
        <w:ind w:left="-288"/>
        <w:rPr>
          <w:rFonts w:ascii="Georgia" w:hAnsi="Georgia"/>
          <w:sz w:val="20"/>
          <w:szCs w:val="20"/>
        </w:rPr>
      </w:pPr>
      <w:r w:rsidRPr="003B4F0E">
        <w:rPr>
          <w:rFonts w:ascii="Georgia" w:hAnsi="Georgia"/>
          <w:sz w:val="20"/>
          <w:szCs w:val="20"/>
        </w:rPr>
        <w:t xml:space="preserve">Given the </w:t>
      </w:r>
      <w:r w:rsidR="006D0FB1">
        <w:rPr>
          <w:rFonts w:ascii="Georgia" w:hAnsi="Georgia"/>
          <w:sz w:val="20"/>
          <w:szCs w:val="20"/>
        </w:rPr>
        <w:t xml:space="preserve">still </w:t>
      </w:r>
      <w:r w:rsidR="00D65021">
        <w:rPr>
          <w:rFonts w:ascii="Georgia" w:hAnsi="Georgia"/>
          <w:sz w:val="20"/>
          <w:szCs w:val="20"/>
        </w:rPr>
        <w:t xml:space="preserve">young and </w:t>
      </w:r>
      <w:r w:rsidR="00FC736F">
        <w:rPr>
          <w:rFonts w:ascii="Georgia" w:hAnsi="Georgia"/>
          <w:sz w:val="20"/>
          <w:szCs w:val="20"/>
        </w:rPr>
        <w:t xml:space="preserve">developing </w:t>
      </w:r>
      <w:r w:rsidRPr="003B4F0E">
        <w:rPr>
          <w:rFonts w:ascii="Georgia" w:hAnsi="Georgia"/>
          <w:sz w:val="20"/>
          <w:szCs w:val="20"/>
        </w:rPr>
        <w:t xml:space="preserve">state of ESG investing and its plethora of interpretations and definitions, such controversy is unsurprising. It is both healthy and </w:t>
      </w:r>
      <w:r w:rsidR="00774F6F">
        <w:rPr>
          <w:rFonts w:ascii="Georgia" w:hAnsi="Georgia"/>
          <w:sz w:val="20"/>
          <w:szCs w:val="20"/>
        </w:rPr>
        <w:t>worthwhile</w:t>
      </w:r>
      <w:r w:rsidR="00774F6F" w:rsidRPr="003B4F0E">
        <w:rPr>
          <w:rFonts w:ascii="Georgia" w:hAnsi="Georgia"/>
          <w:sz w:val="20"/>
          <w:szCs w:val="20"/>
        </w:rPr>
        <w:t xml:space="preserve"> </w:t>
      </w:r>
      <w:r w:rsidRPr="003B4F0E">
        <w:rPr>
          <w:rFonts w:ascii="Georgia" w:hAnsi="Georgia"/>
          <w:sz w:val="20"/>
          <w:szCs w:val="20"/>
        </w:rPr>
        <w:t xml:space="preserve">to continue the dialogue </w:t>
      </w:r>
      <w:r w:rsidR="00881F5B">
        <w:rPr>
          <w:rFonts w:ascii="Georgia" w:hAnsi="Georgia"/>
          <w:sz w:val="20"/>
          <w:szCs w:val="20"/>
        </w:rPr>
        <w:t xml:space="preserve">concerning </w:t>
      </w:r>
      <w:r w:rsidRPr="003B4F0E">
        <w:rPr>
          <w:rFonts w:ascii="Georgia" w:hAnsi="Georgia"/>
          <w:sz w:val="20"/>
          <w:szCs w:val="20"/>
        </w:rPr>
        <w:t>ESG investing or</w:t>
      </w:r>
      <w:r w:rsidR="00C569DA">
        <w:rPr>
          <w:rFonts w:ascii="Georgia" w:hAnsi="Georgia"/>
          <w:sz w:val="20"/>
          <w:szCs w:val="20"/>
        </w:rPr>
        <w:t>, more precisely,</w:t>
      </w:r>
      <w:r w:rsidR="00FC736F">
        <w:rPr>
          <w:rFonts w:ascii="Georgia" w:hAnsi="Georgia"/>
          <w:sz w:val="20"/>
          <w:szCs w:val="20"/>
        </w:rPr>
        <w:t xml:space="preserve"> </w:t>
      </w:r>
      <w:r w:rsidRPr="003B4F0E">
        <w:rPr>
          <w:rFonts w:ascii="Georgia" w:hAnsi="Georgia"/>
          <w:sz w:val="20"/>
          <w:szCs w:val="20"/>
        </w:rPr>
        <w:t xml:space="preserve">the </w:t>
      </w:r>
      <w:r w:rsidR="00B43A74">
        <w:rPr>
          <w:rFonts w:ascii="Georgia" w:hAnsi="Georgia"/>
          <w:sz w:val="20"/>
          <w:szCs w:val="20"/>
        </w:rPr>
        <w:t xml:space="preserve">actual </w:t>
      </w:r>
      <w:r w:rsidR="004F0616">
        <w:rPr>
          <w:rFonts w:ascii="Georgia" w:hAnsi="Georgia"/>
          <w:sz w:val="20"/>
          <w:szCs w:val="20"/>
        </w:rPr>
        <w:t xml:space="preserve">ESG </w:t>
      </w:r>
      <w:r w:rsidR="005A4945">
        <w:rPr>
          <w:rFonts w:ascii="Georgia" w:hAnsi="Georgia"/>
          <w:sz w:val="20"/>
          <w:szCs w:val="20"/>
        </w:rPr>
        <w:t>risks/</w:t>
      </w:r>
      <w:r w:rsidRPr="003B4F0E">
        <w:rPr>
          <w:rFonts w:ascii="Georgia" w:hAnsi="Georgia"/>
          <w:sz w:val="20"/>
          <w:szCs w:val="20"/>
        </w:rPr>
        <w:t xml:space="preserve">factors </w:t>
      </w:r>
      <w:r w:rsidR="006A0330">
        <w:rPr>
          <w:rFonts w:ascii="Georgia" w:hAnsi="Georgia"/>
          <w:sz w:val="20"/>
          <w:szCs w:val="20"/>
        </w:rPr>
        <w:t xml:space="preserve">themselves </w:t>
      </w:r>
      <w:r w:rsidR="00B43A74">
        <w:rPr>
          <w:rFonts w:ascii="Georgia" w:hAnsi="Georgia"/>
          <w:sz w:val="20"/>
          <w:szCs w:val="20"/>
        </w:rPr>
        <w:t xml:space="preserve">and </w:t>
      </w:r>
      <w:r w:rsidR="00FA0130">
        <w:rPr>
          <w:rFonts w:ascii="Georgia" w:hAnsi="Georgia"/>
          <w:sz w:val="20"/>
          <w:szCs w:val="20"/>
        </w:rPr>
        <w:t>their potential influence on investment decisions</w:t>
      </w:r>
      <w:r w:rsidRPr="003B4F0E">
        <w:rPr>
          <w:rFonts w:ascii="Georgia" w:hAnsi="Georgia"/>
          <w:sz w:val="20"/>
          <w:szCs w:val="20"/>
        </w:rPr>
        <w:t xml:space="preserve">. We encourage </w:t>
      </w:r>
      <w:r w:rsidR="004E3D33">
        <w:rPr>
          <w:rFonts w:ascii="Georgia" w:hAnsi="Georgia"/>
          <w:sz w:val="20"/>
          <w:szCs w:val="20"/>
        </w:rPr>
        <w:t>individuals</w:t>
      </w:r>
      <w:r w:rsidR="00532FB7">
        <w:rPr>
          <w:rFonts w:ascii="Georgia" w:hAnsi="Georgia"/>
          <w:sz w:val="20"/>
          <w:szCs w:val="20"/>
        </w:rPr>
        <w:t xml:space="preserve"> and committees</w:t>
      </w:r>
      <w:r w:rsidR="00605218" w:rsidRPr="003B4F0E">
        <w:rPr>
          <w:rFonts w:ascii="Georgia" w:hAnsi="Georgia"/>
          <w:sz w:val="20"/>
          <w:szCs w:val="20"/>
        </w:rPr>
        <w:t xml:space="preserve"> </w:t>
      </w:r>
      <w:r w:rsidRPr="003B4F0E">
        <w:rPr>
          <w:rFonts w:ascii="Georgia" w:hAnsi="Georgia"/>
          <w:sz w:val="20"/>
          <w:szCs w:val="20"/>
        </w:rPr>
        <w:t xml:space="preserve">to acknowledge the </w:t>
      </w:r>
      <w:r w:rsidR="00BC0B2B">
        <w:rPr>
          <w:rFonts w:ascii="Georgia" w:hAnsi="Georgia"/>
          <w:sz w:val="20"/>
          <w:szCs w:val="20"/>
        </w:rPr>
        <w:t xml:space="preserve">inherent </w:t>
      </w:r>
      <w:r w:rsidRPr="003B4F0E">
        <w:rPr>
          <w:rFonts w:ascii="Georgia" w:hAnsi="Georgia"/>
          <w:sz w:val="20"/>
          <w:szCs w:val="20"/>
        </w:rPr>
        <w:t>complexities</w:t>
      </w:r>
      <w:r w:rsidR="000F2C88">
        <w:rPr>
          <w:rFonts w:ascii="Georgia" w:hAnsi="Georgia"/>
          <w:sz w:val="20"/>
          <w:szCs w:val="20"/>
        </w:rPr>
        <w:t xml:space="preserve"> as well as</w:t>
      </w:r>
      <w:r w:rsidRPr="003B4F0E">
        <w:rPr>
          <w:rFonts w:ascii="Georgia" w:hAnsi="Georgia"/>
          <w:sz w:val="20"/>
          <w:szCs w:val="20"/>
        </w:rPr>
        <w:t xml:space="preserve"> to be wary of those looking to stir controversy to serve self-interest</w:t>
      </w:r>
      <w:r w:rsidR="00532FB7">
        <w:rPr>
          <w:rFonts w:ascii="Georgia" w:hAnsi="Georgia"/>
          <w:sz w:val="20"/>
          <w:szCs w:val="20"/>
        </w:rPr>
        <w:t>;</w:t>
      </w:r>
      <w:r w:rsidR="00FC736F">
        <w:rPr>
          <w:rFonts w:ascii="Georgia" w:hAnsi="Georgia"/>
          <w:sz w:val="20"/>
          <w:szCs w:val="20"/>
        </w:rPr>
        <w:t xml:space="preserve"> a</w:t>
      </w:r>
      <w:r w:rsidR="008F6E24">
        <w:rPr>
          <w:rFonts w:ascii="Georgia" w:hAnsi="Georgia"/>
          <w:sz w:val="20"/>
          <w:szCs w:val="20"/>
        </w:rPr>
        <w:t>s</w:t>
      </w:r>
      <w:r w:rsidR="000C3159">
        <w:rPr>
          <w:rFonts w:ascii="Georgia" w:hAnsi="Georgia"/>
          <w:sz w:val="20"/>
          <w:szCs w:val="20"/>
        </w:rPr>
        <w:t xml:space="preserve"> with most complex matters</w:t>
      </w:r>
      <w:r w:rsidR="00087AD4">
        <w:rPr>
          <w:rFonts w:ascii="Georgia" w:hAnsi="Georgia"/>
          <w:sz w:val="20"/>
          <w:szCs w:val="20"/>
        </w:rPr>
        <w:t>,</w:t>
      </w:r>
      <w:r w:rsidR="000C3159">
        <w:rPr>
          <w:rFonts w:ascii="Georgia" w:hAnsi="Georgia"/>
          <w:sz w:val="20"/>
          <w:szCs w:val="20"/>
        </w:rPr>
        <w:t xml:space="preserve"> the truth lies somewhere between the good and bad news with some important details in between. </w:t>
      </w:r>
    </w:p>
    <w:p w14:paraId="006B1DC8" w14:textId="2DBAEF11" w:rsidR="00F547FA" w:rsidRDefault="00F547FA" w:rsidP="00F547FA">
      <w:pPr>
        <w:spacing w:beforeLines="60" w:before="144" w:afterLines="60" w:after="144" w:line="360" w:lineRule="auto"/>
        <w:ind w:left="-288"/>
        <w:rPr>
          <w:rFonts w:ascii="Georgia" w:hAnsi="Georgia"/>
          <w:b/>
          <w:bCs/>
          <w:color w:val="00B0F0"/>
          <w:sz w:val="28"/>
          <w:szCs w:val="36"/>
        </w:rPr>
      </w:pPr>
      <w:r>
        <w:rPr>
          <w:rFonts w:ascii="Georgia" w:hAnsi="Georgia"/>
          <w:b/>
          <w:bCs/>
          <w:color w:val="00B0F0"/>
          <w:sz w:val="28"/>
          <w:szCs w:val="36"/>
        </w:rPr>
        <w:t>Good News | Bad News</w:t>
      </w:r>
    </w:p>
    <w:p w14:paraId="40F7C2F3" w14:textId="4988306B" w:rsidR="00873A5C" w:rsidRPr="00873A5C" w:rsidRDefault="00873A5C" w:rsidP="00F547FA">
      <w:pPr>
        <w:spacing w:beforeLines="60" w:before="144" w:afterLines="60" w:after="144" w:line="360" w:lineRule="auto"/>
        <w:ind w:left="-288"/>
        <w:rPr>
          <w:rFonts w:ascii="Georgia" w:hAnsi="Georgia"/>
          <w:sz w:val="20"/>
          <w:szCs w:val="20"/>
        </w:rPr>
      </w:pPr>
      <w:r w:rsidRPr="00873A5C">
        <w:rPr>
          <w:rFonts w:ascii="Georgia" w:hAnsi="Georgia"/>
          <w:sz w:val="20"/>
          <w:szCs w:val="20"/>
        </w:rPr>
        <w:t>There is a growing movement represented by industry participants (investors/advisors/managers, et al), data providers, as well as market regulators</w:t>
      </w:r>
      <w:r w:rsidR="00A95EE6">
        <w:rPr>
          <w:rFonts w:ascii="Georgia" w:hAnsi="Georgia"/>
          <w:sz w:val="20"/>
          <w:szCs w:val="20"/>
        </w:rPr>
        <w:t xml:space="preserve"> determined t</w:t>
      </w:r>
      <w:r w:rsidR="00A95EE6" w:rsidRPr="00873A5C">
        <w:rPr>
          <w:rFonts w:ascii="Georgia" w:hAnsi="Georgia"/>
          <w:sz w:val="20"/>
          <w:szCs w:val="20"/>
        </w:rPr>
        <w:t>o help shine a light on the issues</w:t>
      </w:r>
      <w:r w:rsidR="00A95EE6">
        <w:rPr>
          <w:rFonts w:ascii="Georgia" w:hAnsi="Georgia"/>
          <w:sz w:val="20"/>
          <w:szCs w:val="20"/>
        </w:rPr>
        <w:t xml:space="preserve"> and </w:t>
      </w:r>
      <w:r w:rsidR="00200AB4">
        <w:rPr>
          <w:rFonts w:ascii="Georgia" w:hAnsi="Georgia"/>
          <w:sz w:val="20"/>
          <w:szCs w:val="20"/>
        </w:rPr>
        <w:t xml:space="preserve">support </w:t>
      </w:r>
      <w:r w:rsidR="00886248">
        <w:rPr>
          <w:rFonts w:ascii="Georgia" w:hAnsi="Georgia"/>
          <w:sz w:val="20"/>
          <w:szCs w:val="20"/>
        </w:rPr>
        <w:t>broader understanding</w:t>
      </w:r>
      <w:r w:rsidRPr="00873A5C">
        <w:rPr>
          <w:rFonts w:ascii="Georgia" w:hAnsi="Georgia"/>
          <w:sz w:val="20"/>
          <w:szCs w:val="20"/>
        </w:rPr>
        <w:t>. Crucial to the mo</w:t>
      </w:r>
      <w:r w:rsidR="00B35868">
        <w:rPr>
          <w:rFonts w:ascii="Georgia" w:hAnsi="Georgia"/>
          <w:sz w:val="20"/>
          <w:szCs w:val="20"/>
        </w:rPr>
        <w:t>ve</w:t>
      </w:r>
      <w:r w:rsidRPr="00873A5C">
        <w:rPr>
          <w:rFonts w:ascii="Georgia" w:hAnsi="Georgia"/>
          <w:sz w:val="20"/>
          <w:szCs w:val="20"/>
        </w:rPr>
        <w:t xml:space="preserve">ment is the evolving body of data intended to capture ESG-related risk criteria for individual companies and </w:t>
      </w:r>
      <w:r w:rsidR="000A1D24">
        <w:rPr>
          <w:rFonts w:ascii="Georgia" w:hAnsi="Georgia"/>
          <w:sz w:val="20"/>
          <w:szCs w:val="20"/>
        </w:rPr>
        <w:t xml:space="preserve">the effort to </w:t>
      </w:r>
      <w:r w:rsidR="000A1D24" w:rsidRPr="00873A5C">
        <w:rPr>
          <w:rFonts w:ascii="Georgia" w:hAnsi="Georgia"/>
          <w:sz w:val="20"/>
          <w:szCs w:val="20"/>
        </w:rPr>
        <w:t>mak</w:t>
      </w:r>
      <w:r w:rsidR="000A1D24">
        <w:rPr>
          <w:rFonts w:ascii="Georgia" w:hAnsi="Georgia"/>
          <w:sz w:val="20"/>
          <w:szCs w:val="20"/>
        </w:rPr>
        <w:t>e that</w:t>
      </w:r>
      <w:r w:rsidR="008179C7">
        <w:rPr>
          <w:rFonts w:ascii="Georgia" w:hAnsi="Georgia"/>
          <w:sz w:val="20"/>
          <w:szCs w:val="20"/>
        </w:rPr>
        <w:t xml:space="preserve"> </w:t>
      </w:r>
      <w:r w:rsidR="001D3C71">
        <w:rPr>
          <w:rFonts w:ascii="Georgia" w:hAnsi="Georgia"/>
          <w:sz w:val="20"/>
          <w:szCs w:val="20"/>
        </w:rPr>
        <w:t>information</w:t>
      </w:r>
      <w:r w:rsidR="00DA087E">
        <w:rPr>
          <w:rFonts w:ascii="Georgia" w:hAnsi="Georgia"/>
          <w:sz w:val="20"/>
          <w:szCs w:val="20"/>
        </w:rPr>
        <w:t xml:space="preserve"> useful to</w:t>
      </w:r>
      <w:r w:rsidRPr="00873A5C">
        <w:rPr>
          <w:rFonts w:ascii="Georgia" w:hAnsi="Georgia"/>
          <w:sz w:val="20"/>
          <w:szCs w:val="20"/>
        </w:rPr>
        <w:t xml:space="preserve"> investors. Good news: </w:t>
      </w:r>
      <w:r w:rsidR="008179C7">
        <w:rPr>
          <w:rFonts w:ascii="Georgia" w:hAnsi="Georgia"/>
          <w:sz w:val="20"/>
          <w:szCs w:val="20"/>
        </w:rPr>
        <w:t xml:space="preserve">ESG </w:t>
      </w:r>
      <w:r w:rsidRPr="00873A5C">
        <w:rPr>
          <w:rFonts w:ascii="Georgia" w:hAnsi="Georgia"/>
          <w:sz w:val="20"/>
          <w:szCs w:val="20"/>
        </w:rPr>
        <w:t>data is out there and available; bad news: th</w:t>
      </w:r>
      <w:r w:rsidR="00FD6F13">
        <w:rPr>
          <w:rFonts w:ascii="Georgia" w:hAnsi="Georgia"/>
          <w:sz w:val="20"/>
          <w:szCs w:val="20"/>
        </w:rPr>
        <w:t>e</w:t>
      </w:r>
      <w:r w:rsidRPr="00873A5C">
        <w:rPr>
          <w:rFonts w:ascii="Georgia" w:hAnsi="Georgia"/>
          <w:sz w:val="20"/>
          <w:szCs w:val="20"/>
        </w:rPr>
        <w:t xml:space="preserve"> data </w:t>
      </w:r>
      <w:r w:rsidR="007F5E39">
        <w:rPr>
          <w:rFonts w:ascii="Georgia" w:hAnsi="Georgia"/>
          <w:sz w:val="20"/>
          <w:szCs w:val="20"/>
        </w:rPr>
        <w:t xml:space="preserve">is largely </w:t>
      </w:r>
      <w:r w:rsidR="007F5E39" w:rsidRPr="003316E4">
        <w:rPr>
          <w:rFonts w:ascii="Georgia" w:hAnsi="Georgia"/>
          <w:sz w:val="20"/>
          <w:szCs w:val="20"/>
        </w:rPr>
        <w:t xml:space="preserve">self-reported, </w:t>
      </w:r>
      <w:proofErr w:type="gramStart"/>
      <w:r w:rsidR="007F5E39" w:rsidRPr="003316E4">
        <w:rPr>
          <w:rFonts w:ascii="Georgia" w:hAnsi="Georgia"/>
          <w:sz w:val="20"/>
          <w:szCs w:val="20"/>
        </w:rPr>
        <w:t>unregulated</w:t>
      </w:r>
      <w:proofErr w:type="gramEnd"/>
      <w:r w:rsidR="007F5E39" w:rsidRPr="003316E4">
        <w:rPr>
          <w:rFonts w:ascii="Georgia" w:hAnsi="Georgia"/>
          <w:sz w:val="20"/>
          <w:szCs w:val="20"/>
        </w:rPr>
        <w:t xml:space="preserve"> and unaudited. </w:t>
      </w:r>
      <w:r w:rsidR="00764A32">
        <w:rPr>
          <w:rFonts w:ascii="Georgia" w:hAnsi="Georgia"/>
          <w:sz w:val="20"/>
          <w:szCs w:val="20"/>
        </w:rPr>
        <w:t>For it</w:t>
      </w:r>
      <w:r w:rsidR="003F5179" w:rsidRPr="003316E4">
        <w:rPr>
          <w:rFonts w:ascii="Georgia" w:hAnsi="Georgia"/>
          <w:sz w:val="20"/>
          <w:szCs w:val="20"/>
        </w:rPr>
        <w:t xml:space="preserve"> to become </w:t>
      </w:r>
      <w:r w:rsidR="003316E4">
        <w:rPr>
          <w:rFonts w:ascii="Georgia" w:hAnsi="Georgia"/>
          <w:sz w:val="20"/>
          <w:szCs w:val="20"/>
        </w:rPr>
        <w:t>beneficial</w:t>
      </w:r>
      <w:r w:rsidR="00324B16" w:rsidRPr="003316E4">
        <w:rPr>
          <w:rFonts w:ascii="Georgia" w:hAnsi="Georgia"/>
          <w:sz w:val="20"/>
          <w:szCs w:val="20"/>
        </w:rPr>
        <w:t xml:space="preserve">, </w:t>
      </w:r>
      <w:r w:rsidR="00D4787D">
        <w:rPr>
          <w:rFonts w:ascii="Georgia" w:hAnsi="Georgia"/>
          <w:sz w:val="20"/>
          <w:szCs w:val="20"/>
        </w:rPr>
        <w:t>data capturing ESG risks</w:t>
      </w:r>
      <w:r w:rsidR="007F5E39" w:rsidRPr="003316E4">
        <w:rPr>
          <w:rFonts w:ascii="Georgia" w:hAnsi="Georgia"/>
          <w:sz w:val="20"/>
          <w:szCs w:val="20"/>
        </w:rPr>
        <w:t xml:space="preserve"> </w:t>
      </w:r>
      <w:r w:rsidRPr="00873A5C">
        <w:rPr>
          <w:rFonts w:ascii="Georgia" w:hAnsi="Georgia"/>
          <w:sz w:val="20"/>
          <w:szCs w:val="20"/>
        </w:rPr>
        <w:t xml:space="preserve">must continue to evolve, including becoming more standardized. </w:t>
      </w:r>
    </w:p>
    <w:p w14:paraId="1B9AED0B" w14:textId="35D41436" w:rsidR="00E735FD" w:rsidRPr="00E735FD" w:rsidRDefault="00EC52EE" w:rsidP="00F547FA">
      <w:pPr>
        <w:spacing w:beforeLines="60" w:before="144" w:afterLines="60" w:after="144" w:line="360" w:lineRule="auto"/>
        <w:ind w:left="-288"/>
        <w:rPr>
          <w:rFonts w:ascii="Georgia" w:hAnsi="Georgia"/>
          <w:sz w:val="20"/>
          <w:szCs w:val="20"/>
        </w:rPr>
      </w:pPr>
      <w:r>
        <w:rPr>
          <w:noProof/>
        </w:rPr>
        <w:lastRenderedPageBreak/>
        <w:drawing>
          <wp:anchor distT="0" distB="0" distL="114300" distR="114300" simplePos="0" relativeHeight="251661312" behindDoc="0" locked="0" layoutInCell="1" allowOverlap="1" wp14:anchorId="346AD959" wp14:editId="31F639B7">
            <wp:simplePos x="0" y="0"/>
            <wp:positionH relativeFrom="margin">
              <wp:posOffset>4112895</wp:posOffset>
            </wp:positionH>
            <wp:positionV relativeFrom="paragraph">
              <wp:posOffset>0</wp:posOffset>
            </wp:positionV>
            <wp:extent cx="2421890" cy="1814195"/>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890"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DB9">
        <w:rPr>
          <w:rFonts w:ascii="Georgia" w:hAnsi="Georgia"/>
          <w:sz w:val="20"/>
          <w:szCs w:val="20"/>
        </w:rPr>
        <w:t xml:space="preserve">The </w:t>
      </w:r>
      <w:r w:rsidR="004B4479">
        <w:rPr>
          <w:rFonts w:ascii="Georgia" w:hAnsi="Georgia"/>
          <w:sz w:val="20"/>
          <w:szCs w:val="20"/>
        </w:rPr>
        <w:t xml:space="preserve">information that </w:t>
      </w:r>
      <w:r w:rsidR="00873A5C" w:rsidRPr="00873A5C">
        <w:rPr>
          <w:rFonts w:ascii="Georgia" w:hAnsi="Georgia"/>
          <w:sz w:val="20"/>
          <w:szCs w:val="20"/>
        </w:rPr>
        <w:t>matters most</w:t>
      </w:r>
      <w:r w:rsidR="004B4479">
        <w:rPr>
          <w:rFonts w:ascii="Georgia" w:hAnsi="Georgia"/>
          <w:sz w:val="20"/>
          <w:szCs w:val="20"/>
        </w:rPr>
        <w:t xml:space="preserve"> when it comes to</w:t>
      </w:r>
      <w:r w:rsidR="00873A5C" w:rsidRPr="00873A5C">
        <w:rPr>
          <w:rFonts w:ascii="Georgia" w:hAnsi="Georgia"/>
          <w:sz w:val="20"/>
          <w:szCs w:val="20"/>
        </w:rPr>
        <w:t xml:space="preserve"> investment analysis is factors</w:t>
      </w:r>
      <w:r w:rsidR="004B4479">
        <w:rPr>
          <w:rFonts w:ascii="Georgia" w:hAnsi="Georgia"/>
          <w:sz w:val="20"/>
          <w:szCs w:val="20"/>
        </w:rPr>
        <w:t xml:space="preserve"> that are material enough</w:t>
      </w:r>
      <w:r w:rsidR="00873A5C" w:rsidRPr="00873A5C">
        <w:rPr>
          <w:rFonts w:ascii="Georgia" w:hAnsi="Georgia"/>
          <w:sz w:val="20"/>
          <w:szCs w:val="20"/>
        </w:rPr>
        <w:t xml:space="preserve"> to influence the </w:t>
      </w:r>
      <w:r w:rsidR="001E59CC">
        <w:rPr>
          <w:rFonts w:ascii="Georgia" w:hAnsi="Georgia"/>
          <w:sz w:val="20"/>
          <w:szCs w:val="20"/>
        </w:rPr>
        <w:t xml:space="preserve">potential </w:t>
      </w:r>
      <w:r w:rsidR="00873A5C" w:rsidRPr="00873A5C">
        <w:rPr>
          <w:rFonts w:ascii="Georgia" w:hAnsi="Georgia"/>
          <w:sz w:val="20"/>
          <w:szCs w:val="20"/>
        </w:rPr>
        <w:t xml:space="preserve">future value of the asset(s). In ESG terms, determining materiality will likely prove challenging at least in the near-term. As </w:t>
      </w:r>
      <w:proofErr w:type="spellStart"/>
      <w:r w:rsidR="00873A5C" w:rsidRPr="00873A5C">
        <w:rPr>
          <w:rFonts w:ascii="Georgia" w:hAnsi="Georgia"/>
          <w:sz w:val="20"/>
          <w:szCs w:val="20"/>
        </w:rPr>
        <w:t>Factset</w:t>
      </w:r>
      <w:proofErr w:type="spellEnd"/>
      <w:r w:rsidR="00873A5C" w:rsidRPr="00873A5C">
        <w:rPr>
          <w:rFonts w:ascii="Georgia" w:hAnsi="Georgia"/>
          <w:sz w:val="20"/>
          <w:szCs w:val="20"/>
        </w:rPr>
        <w:t xml:space="preserve"> research suggests “the analysis of ESG materiality has led to some innovative findings on the dynamic nature of materiality, with some research suggesting that financial materiality is not a ‘state of being’ [material] but a ‘process of becoming.’”</w:t>
      </w:r>
      <w:r w:rsidR="0012634A">
        <w:rPr>
          <w:rStyle w:val="FootnoteReference"/>
          <w:rFonts w:ascii="Georgia" w:hAnsi="Georgia"/>
          <w:sz w:val="20"/>
          <w:szCs w:val="20"/>
        </w:rPr>
        <w:footnoteReference w:id="1"/>
      </w:r>
      <w:r w:rsidR="00873A5C" w:rsidRPr="00873A5C">
        <w:rPr>
          <w:rFonts w:ascii="Georgia" w:hAnsi="Georgia"/>
          <w:sz w:val="20"/>
          <w:szCs w:val="20"/>
        </w:rPr>
        <w:t xml:space="preserve">  So perhaps the exercise will remain a bit of a moving target.</w:t>
      </w:r>
      <w:r w:rsidR="00FC529E">
        <w:rPr>
          <w:rFonts w:ascii="Georgia" w:hAnsi="Georgia"/>
          <w:sz w:val="20"/>
          <w:szCs w:val="20"/>
        </w:rPr>
        <w:t xml:space="preserve"> </w:t>
      </w:r>
    </w:p>
    <w:p w14:paraId="71C0B6C6" w14:textId="24183D67" w:rsidR="00E735FD" w:rsidRPr="00C10247" w:rsidRDefault="00F02496" w:rsidP="00C10247">
      <w:pPr>
        <w:spacing w:beforeLines="60" w:before="144" w:afterLines="60" w:after="144" w:line="360" w:lineRule="auto"/>
        <w:ind w:left="-288"/>
        <w:rPr>
          <w:rFonts w:ascii="Georgia" w:hAnsi="Georgia"/>
          <w:b/>
          <w:bCs/>
          <w:color w:val="00B0F0"/>
          <w:sz w:val="28"/>
          <w:szCs w:val="36"/>
        </w:rPr>
      </w:pPr>
      <w:r>
        <w:rPr>
          <w:noProof/>
        </w:rPr>
        <mc:AlternateContent>
          <mc:Choice Requires="wps">
            <w:drawing>
              <wp:anchor distT="0" distB="0" distL="114300" distR="114300" simplePos="0" relativeHeight="251666432" behindDoc="0" locked="0" layoutInCell="1" allowOverlap="1" wp14:anchorId="63D9906E" wp14:editId="0A977BA2">
                <wp:simplePos x="0" y="0"/>
                <wp:positionH relativeFrom="column">
                  <wp:posOffset>3979545</wp:posOffset>
                </wp:positionH>
                <wp:positionV relativeFrom="paragraph">
                  <wp:posOffset>54610</wp:posOffset>
                </wp:positionV>
                <wp:extent cx="2421890" cy="635"/>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2421890" cy="635"/>
                        </a:xfrm>
                        <a:prstGeom prst="rect">
                          <a:avLst/>
                        </a:prstGeom>
                        <a:solidFill>
                          <a:prstClr val="white"/>
                        </a:solidFill>
                        <a:ln>
                          <a:noFill/>
                        </a:ln>
                      </wps:spPr>
                      <wps:txbx>
                        <w:txbxContent>
                          <w:p w14:paraId="33004E4C" w14:textId="77D9B452" w:rsidR="00DC1C65" w:rsidRPr="00495A8D" w:rsidRDefault="00DC1C65" w:rsidP="00495A8D">
                            <w:pPr>
                              <w:pStyle w:val="Caption"/>
                              <w:jc w:val="center"/>
                              <w:rPr>
                                <w:rFonts w:ascii="Georgia" w:hAnsi="Georgia"/>
                                <w:noProof/>
                                <w:sz w:val="22"/>
                                <w:szCs w:val="22"/>
                              </w:rPr>
                            </w:pPr>
                            <w:r w:rsidRPr="00495A8D">
                              <w:rPr>
                                <w:rFonts w:ascii="Georgia" w:hAnsi="Georgia"/>
                                <w:sz w:val="16"/>
                                <w:szCs w:val="16"/>
                              </w:rPr>
                              <w:t xml:space="preserve">Figure </w:t>
                            </w:r>
                            <w:r w:rsidRPr="00495A8D">
                              <w:rPr>
                                <w:rFonts w:ascii="Georgia" w:hAnsi="Georgia"/>
                                <w:sz w:val="16"/>
                                <w:szCs w:val="16"/>
                              </w:rPr>
                              <w:fldChar w:fldCharType="begin"/>
                            </w:r>
                            <w:r w:rsidRPr="00495A8D">
                              <w:rPr>
                                <w:rFonts w:ascii="Georgia" w:hAnsi="Georgia"/>
                                <w:sz w:val="16"/>
                                <w:szCs w:val="16"/>
                              </w:rPr>
                              <w:instrText xml:space="preserve"> SEQ Figure \* ARABIC </w:instrText>
                            </w:r>
                            <w:r w:rsidRPr="00495A8D">
                              <w:rPr>
                                <w:rFonts w:ascii="Georgia" w:hAnsi="Georgia"/>
                                <w:sz w:val="16"/>
                                <w:szCs w:val="16"/>
                              </w:rPr>
                              <w:fldChar w:fldCharType="separate"/>
                            </w:r>
                            <w:r w:rsidR="000B6953">
                              <w:rPr>
                                <w:rFonts w:ascii="Georgia" w:hAnsi="Georgia"/>
                                <w:noProof/>
                                <w:sz w:val="16"/>
                                <w:szCs w:val="16"/>
                              </w:rPr>
                              <w:t>1</w:t>
                            </w:r>
                            <w:r w:rsidRPr="00495A8D">
                              <w:rPr>
                                <w:rFonts w:ascii="Georgia" w:hAnsi="Georgia"/>
                                <w:sz w:val="16"/>
                                <w:szCs w:val="16"/>
                              </w:rPr>
                              <w:fldChar w:fldCharType="end"/>
                            </w:r>
                            <w:r w:rsidRPr="00495A8D">
                              <w:rPr>
                                <w:rFonts w:ascii="Georgia" w:hAnsi="Georgia"/>
                                <w:sz w:val="16"/>
                                <w:szCs w:val="16"/>
                              </w:rPr>
                              <w:t xml:space="preserve"> SASB Materiality Map</w:t>
                            </w:r>
                            <w:r w:rsidR="00A94A32" w:rsidRPr="00495A8D">
                              <w:rPr>
                                <w:rFonts w:ascii="Georgia" w:hAnsi="Georgia"/>
                                <w:sz w:val="16"/>
                                <w:szCs w:val="16"/>
                              </w:rPr>
                              <w:t xml:space="preserve"> (</w:t>
                            </w:r>
                            <w:r w:rsidR="00BC0E6F" w:rsidRPr="00495A8D">
                              <w:rPr>
                                <w:rFonts w:ascii="Georgia" w:hAnsi="Georgia"/>
                                <w:sz w:val="16"/>
                                <w:szCs w:val="16"/>
                              </w:rPr>
                              <w:t>www.sasb.org)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D9906E" id="_x0000_t202" coordsize="21600,21600" o:spt="202" path="m,l,21600r21600,l21600,xe">
                <v:stroke joinstyle="miter"/>
                <v:path gradientshapeok="t" o:connecttype="rect"/>
              </v:shapetype>
              <v:shape id="Text Box 3" o:spid="_x0000_s1026" type="#_x0000_t202" style="position:absolute;left:0;text-align:left;margin-left:313.35pt;margin-top:4.3pt;width:190.7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" stroked="f">
                <v:textbox style="mso-fit-shape-to-text:t" inset="0,0,0,0">
                  <w:txbxContent>
                    <w:p w14:paraId="33004E4C" w14:textId="77D9B452" w:rsidR="00DC1C65" w:rsidRPr="00495A8D" w:rsidRDefault="00DC1C65" w:rsidP="00495A8D">
                      <w:pPr>
                        <w:pStyle w:val="Caption"/>
                        <w:jc w:val="center"/>
                        <w:rPr>
                          <w:rFonts w:ascii="Georgia" w:hAnsi="Georgia"/>
                          <w:noProof/>
                          <w:sz w:val="22"/>
                          <w:szCs w:val="22"/>
                        </w:rPr>
                      </w:pPr>
                      <w:r w:rsidRPr="00495A8D">
                        <w:rPr>
                          <w:rFonts w:ascii="Georgia" w:hAnsi="Georgia"/>
                          <w:sz w:val="16"/>
                          <w:szCs w:val="16"/>
                        </w:rPr>
                        <w:t xml:space="preserve">Figure </w:t>
                      </w:r>
                      <w:r w:rsidRPr="00495A8D">
                        <w:rPr>
                          <w:rFonts w:ascii="Georgia" w:hAnsi="Georgia"/>
                          <w:sz w:val="16"/>
                          <w:szCs w:val="16"/>
                        </w:rPr>
                        <w:fldChar w:fldCharType="begin"/>
                      </w:r>
                      <w:r w:rsidRPr="00495A8D">
                        <w:rPr>
                          <w:rFonts w:ascii="Georgia" w:hAnsi="Georgia"/>
                          <w:sz w:val="16"/>
                          <w:szCs w:val="16"/>
                        </w:rPr>
                        <w:instrText xml:space="preserve"> SEQ Figure \* ARABIC </w:instrText>
                      </w:r>
                      <w:r w:rsidRPr="00495A8D">
                        <w:rPr>
                          <w:rFonts w:ascii="Georgia" w:hAnsi="Georgia"/>
                          <w:sz w:val="16"/>
                          <w:szCs w:val="16"/>
                        </w:rPr>
                        <w:fldChar w:fldCharType="separate"/>
                      </w:r>
                      <w:r w:rsidR="000B6953">
                        <w:rPr>
                          <w:rFonts w:ascii="Georgia" w:hAnsi="Georgia"/>
                          <w:noProof/>
                          <w:sz w:val="16"/>
                          <w:szCs w:val="16"/>
                        </w:rPr>
                        <w:t>1</w:t>
                      </w:r>
                      <w:r w:rsidRPr="00495A8D">
                        <w:rPr>
                          <w:rFonts w:ascii="Georgia" w:hAnsi="Georgia"/>
                          <w:sz w:val="16"/>
                          <w:szCs w:val="16"/>
                        </w:rPr>
                        <w:fldChar w:fldCharType="end"/>
                      </w:r>
                      <w:r w:rsidRPr="00495A8D">
                        <w:rPr>
                          <w:rFonts w:ascii="Georgia" w:hAnsi="Georgia"/>
                          <w:sz w:val="16"/>
                          <w:szCs w:val="16"/>
                        </w:rPr>
                        <w:t xml:space="preserve"> SASB Materiality Map</w:t>
                      </w:r>
                      <w:r w:rsidR="00A94A32" w:rsidRPr="00495A8D">
                        <w:rPr>
                          <w:rFonts w:ascii="Georgia" w:hAnsi="Georgia"/>
                          <w:sz w:val="16"/>
                          <w:szCs w:val="16"/>
                        </w:rPr>
                        <w:t xml:space="preserve"> (</w:t>
                      </w:r>
                      <w:r w:rsidR="00BC0E6F" w:rsidRPr="00495A8D">
                        <w:rPr>
                          <w:rFonts w:ascii="Georgia" w:hAnsi="Georgia"/>
                          <w:sz w:val="16"/>
                          <w:szCs w:val="16"/>
                        </w:rPr>
                        <w:t>www.sasb.org)</w:t>
                      </w:r>
                    </w:p>
                  </w:txbxContent>
                </v:textbox>
                <w10:wrap type="square"/>
              </v:shape>
            </w:pict>
          </mc:Fallback>
        </mc:AlternateContent>
      </w:r>
      <w:r w:rsidR="0003129E">
        <w:rPr>
          <w:rFonts w:ascii="Georgia" w:hAnsi="Georgia"/>
          <w:b/>
          <w:bCs/>
          <w:color w:val="00B0F0"/>
          <w:sz w:val="28"/>
          <w:szCs w:val="36"/>
        </w:rPr>
        <w:t xml:space="preserve">Necessary </w:t>
      </w:r>
      <w:r w:rsidR="00247489">
        <w:rPr>
          <w:rFonts w:ascii="Georgia" w:hAnsi="Georgia"/>
          <w:b/>
          <w:bCs/>
          <w:color w:val="00B0F0"/>
          <w:sz w:val="28"/>
          <w:szCs w:val="36"/>
        </w:rPr>
        <w:t xml:space="preserve">and Positive </w:t>
      </w:r>
      <w:r w:rsidR="0003129E">
        <w:rPr>
          <w:rFonts w:ascii="Georgia" w:hAnsi="Georgia"/>
          <w:b/>
          <w:bCs/>
          <w:color w:val="00B0F0"/>
          <w:sz w:val="28"/>
          <w:szCs w:val="36"/>
        </w:rPr>
        <w:t>Evolution</w:t>
      </w:r>
    </w:p>
    <w:p w14:paraId="5B433D91" w14:textId="0512339B" w:rsidR="00ED32BA" w:rsidRDefault="0003129E" w:rsidP="00EC52EE">
      <w:pPr>
        <w:spacing w:beforeLines="60" w:before="144" w:afterLines="60" w:after="144" w:line="360" w:lineRule="auto"/>
        <w:ind w:left="-288"/>
        <w:rPr>
          <w:rFonts w:ascii="Georgia" w:hAnsi="Georgia"/>
          <w:sz w:val="20"/>
          <w:szCs w:val="20"/>
        </w:rPr>
      </w:pPr>
      <w:r w:rsidRPr="0003129E">
        <w:rPr>
          <w:rFonts w:ascii="Georgia" w:hAnsi="Georgia"/>
          <w:sz w:val="20"/>
          <w:szCs w:val="20"/>
        </w:rPr>
        <w:t xml:space="preserve">In the meantime, those organizations that seek to develop and set accounting standards for sustainability and ESG reporting have advanced </w:t>
      </w:r>
      <w:r w:rsidR="00AC2A09">
        <w:rPr>
          <w:rFonts w:ascii="Georgia" w:hAnsi="Georgia"/>
          <w:sz w:val="20"/>
          <w:szCs w:val="20"/>
        </w:rPr>
        <w:t>and</w:t>
      </w:r>
      <w:r w:rsidR="00A85412">
        <w:rPr>
          <w:rFonts w:ascii="Georgia" w:hAnsi="Georgia"/>
          <w:sz w:val="20"/>
          <w:szCs w:val="20"/>
        </w:rPr>
        <w:t xml:space="preserve"> reached</w:t>
      </w:r>
      <w:r w:rsidRPr="0003129E">
        <w:rPr>
          <w:rFonts w:ascii="Georgia" w:hAnsi="Georgia"/>
          <w:sz w:val="20"/>
          <w:szCs w:val="20"/>
        </w:rPr>
        <w:t xml:space="preserve"> an important milestone. In June 2021, the Sustainable Accounting</w:t>
      </w:r>
      <w:r w:rsidR="00EC52EE">
        <w:rPr>
          <w:rFonts w:ascii="Georgia" w:hAnsi="Georgia"/>
          <w:sz w:val="20"/>
          <w:szCs w:val="20"/>
        </w:rPr>
        <w:t xml:space="preserve"> </w:t>
      </w:r>
      <w:r w:rsidRPr="0003129E">
        <w:rPr>
          <w:rFonts w:ascii="Georgia" w:hAnsi="Georgia"/>
          <w:sz w:val="20"/>
          <w:szCs w:val="20"/>
        </w:rPr>
        <w:t>Standards Board</w:t>
      </w:r>
      <w:r w:rsidR="004B4479">
        <w:rPr>
          <w:rFonts w:ascii="Georgia" w:hAnsi="Georgia"/>
          <w:sz w:val="20"/>
          <w:szCs w:val="20"/>
        </w:rPr>
        <w:t xml:space="preserve"> (SASB)</w:t>
      </w:r>
      <w:r w:rsidRPr="0003129E">
        <w:rPr>
          <w:rFonts w:ascii="Georgia" w:hAnsi="Georgia"/>
          <w:sz w:val="20"/>
          <w:szCs w:val="20"/>
        </w:rPr>
        <w:t xml:space="preserve"> and International Integrated Reporting Council (IIRC) merged to create a new entity</w:t>
      </w:r>
      <w:r w:rsidR="00B55C56">
        <w:rPr>
          <w:rFonts w:ascii="Georgia" w:hAnsi="Georgia"/>
          <w:sz w:val="20"/>
          <w:szCs w:val="20"/>
        </w:rPr>
        <w:t>,</w:t>
      </w:r>
      <w:r w:rsidRPr="0003129E">
        <w:rPr>
          <w:rFonts w:ascii="Georgia" w:hAnsi="Georgia"/>
          <w:sz w:val="20"/>
          <w:szCs w:val="20"/>
        </w:rPr>
        <w:t xml:space="preserve"> Value Reporting Foundation (VRF).  The “VRF is concerned mainly with communicating how ESG factors affect a company's performance so that investors can make better decisions about them. [It] might be better understood as "enterprise value reporting," where ESG factors are one of the many things that can influence the value of a company and its activities.”</w:t>
      </w:r>
      <w:r w:rsidR="0023060A">
        <w:rPr>
          <w:rStyle w:val="FootnoteReference"/>
          <w:rFonts w:ascii="Georgia" w:hAnsi="Georgia"/>
          <w:sz w:val="20"/>
          <w:szCs w:val="20"/>
        </w:rPr>
        <w:footnoteReference w:id="2"/>
      </w:r>
      <w:r w:rsidR="00EA565C">
        <w:rPr>
          <w:rFonts w:ascii="Georgia" w:hAnsi="Georgia"/>
          <w:sz w:val="20"/>
          <w:szCs w:val="20"/>
        </w:rPr>
        <w:t xml:space="preserve"> In August of 2022, </w:t>
      </w:r>
      <w:r w:rsidR="00FE6D6C">
        <w:rPr>
          <w:rFonts w:ascii="Georgia" w:hAnsi="Georgia"/>
          <w:sz w:val="20"/>
          <w:szCs w:val="20"/>
        </w:rPr>
        <w:t xml:space="preserve">International Financial Reporting Standards (IFRS) Foundation merged with VRF </w:t>
      </w:r>
      <w:r w:rsidR="00CD7E19">
        <w:rPr>
          <w:rFonts w:ascii="Georgia" w:hAnsi="Georgia"/>
          <w:sz w:val="20"/>
          <w:szCs w:val="20"/>
        </w:rPr>
        <w:t>to assume responsibility for SASB Standards.</w:t>
      </w:r>
      <w:r w:rsidR="000B6953">
        <w:rPr>
          <w:rStyle w:val="FootnoteReference"/>
          <w:rFonts w:ascii="Georgia" w:hAnsi="Georgia"/>
          <w:sz w:val="20"/>
          <w:szCs w:val="20"/>
        </w:rPr>
        <w:footnoteReference w:id="3"/>
      </w:r>
    </w:p>
    <w:p w14:paraId="643669BC" w14:textId="57ED259E" w:rsidR="00DB1B93" w:rsidRPr="00C10247" w:rsidRDefault="001D6821" w:rsidP="00DB1B93">
      <w:pPr>
        <w:spacing w:beforeLines="60" w:before="144" w:afterLines="60" w:after="144" w:line="360" w:lineRule="auto"/>
        <w:ind w:left="-288"/>
        <w:rPr>
          <w:rFonts w:ascii="Georgia" w:hAnsi="Georgia"/>
          <w:b/>
          <w:bCs/>
          <w:color w:val="00B0F0"/>
          <w:sz w:val="28"/>
          <w:szCs w:val="36"/>
        </w:rPr>
      </w:pPr>
      <w:r>
        <w:rPr>
          <w:rFonts w:ascii="Georgia" w:hAnsi="Georgia"/>
          <w:b/>
          <w:bCs/>
          <w:color w:val="00B0F0"/>
          <w:sz w:val="28"/>
          <w:szCs w:val="36"/>
        </w:rPr>
        <w:t>And who’s watching?</w:t>
      </w:r>
    </w:p>
    <w:p w14:paraId="2C1088EA" w14:textId="00F2F6A6" w:rsidR="00CA10E6" w:rsidRPr="00CA10E6" w:rsidRDefault="00CA10E6" w:rsidP="00CA10E6">
      <w:pPr>
        <w:spacing w:beforeLines="60" w:before="144" w:afterLines="60" w:after="144" w:line="360" w:lineRule="auto"/>
        <w:ind w:left="-288"/>
        <w:rPr>
          <w:rFonts w:ascii="Georgia" w:hAnsi="Georgia"/>
          <w:sz w:val="20"/>
          <w:szCs w:val="20"/>
        </w:rPr>
      </w:pPr>
      <w:r w:rsidRPr="00CA10E6">
        <w:rPr>
          <w:rFonts w:ascii="Georgia" w:hAnsi="Georgia"/>
          <w:sz w:val="20"/>
          <w:szCs w:val="20"/>
        </w:rPr>
        <w:t>Regulators including the S</w:t>
      </w:r>
      <w:r w:rsidR="004B4479">
        <w:rPr>
          <w:rFonts w:ascii="Georgia" w:hAnsi="Georgia"/>
          <w:sz w:val="20"/>
          <w:szCs w:val="20"/>
        </w:rPr>
        <w:t xml:space="preserve">ecurities and </w:t>
      </w:r>
      <w:r w:rsidRPr="00CA10E6">
        <w:rPr>
          <w:rFonts w:ascii="Georgia" w:hAnsi="Georgia"/>
          <w:sz w:val="20"/>
          <w:szCs w:val="20"/>
        </w:rPr>
        <w:t>E</w:t>
      </w:r>
      <w:r w:rsidR="004B4479">
        <w:rPr>
          <w:rFonts w:ascii="Georgia" w:hAnsi="Georgia"/>
          <w:sz w:val="20"/>
          <w:szCs w:val="20"/>
        </w:rPr>
        <w:t xml:space="preserve">xchange </w:t>
      </w:r>
      <w:r w:rsidR="004B4479" w:rsidRPr="00CA10E6">
        <w:rPr>
          <w:rFonts w:ascii="Georgia" w:hAnsi="Georgia"/>
          <w:sz w:val="20"/>
          <w:szCs w:val="20"/>
        </w:rPr>
        <w:t>C</w:t>
      </w:r>
      <w:r w:rsidR="004B4479">
        <w:rPr>
          <w:rFonts w:ascii="Georgia" w:hAnsi="Georgia"/>
          <w:sz w:val="20"/>
          <w:szCs w:val="20"/>
        </w:rPr>
        <w:t>ommission (SEC)</w:t>
      </w:r>
      <w:r w:rsidRPr="00CA10E6">
        <w:rPr>
          <w:rFonts w:ascii="Georgia" w:hAnsi="Georgia"/>
          <w:sz w:val="20"/>
          <w:szCs w:val="20"/>
        </w:rPr>
        <w:t xml:space="preserve"> certainly have an important role in shaping the type/level of data and disclosures required by public companies concerning ESG factors and management. We expect they can get it more right than wrong – though other market participants including investment practitioners (like managers/consultants, etc.) and the leaders of companies must play a role. </w:t>
      </w:r>
    </w:p>
    <w:p w14:paraId="116134CE" w14:textId="265270F7" w:rsidR="00CA10E6" w:rsidRPr="00CA10E6" w:rsidRDefault="0002270F" w:rsidP="00CA10E6">
      <w:pPr>
        <w:spacing w:beforeLines="60" w:before="144" w:afterLines="60" w:after="144" w:line="360" w:lineRule="auto"/>
        <w:ind w:left="-288"/>
        <w:rPr>
          <w:rFonts w:ascii="Georgia" w:hAnsi="Georgia"/>
          <w:sz w:val="20"/>
          <w:szCs w:val="20"/>
        </w:rPr>
      </w:pPr>
      <w:r>
        <w:rPr>
          <w:rFonts w:ascii="Georgia" w:hAnsi="Georgia"/>
          <w:sz w:val="20"/>
          <w:szCs w:val="20"/>
        </w:rPr>
        <w:t>Last fall, t</w:t>
      </w:r>
      <w:r w:rsidRPr="00CA10E6">
        <w:rPr>
          <w:rFonts w:ascii="Georgia" w:hAnsi="Georgia"/>
          <w:sz w:val="20"/>
          <w:szCs w:val="20"/>
        </w:rPr>
        <w:t xml:space="preserve">he </w:t>
      </w:r>
      <w:r w:rsidR="00CA10E6" w:rsidRPr="00CA10E6">
        <w:rPr>
          <w:rFonts w:ascii="Georgia" w:hAnsi="Georgia"/>
          <w:sz w:val="20"/>
          <w:szCs w:val="20"/>
        </w:rPr>
        <w:t xml:space="preserve">CFA Society Boston held its annual Sustainable Investing Conference. Key sessions included separate discussions of both regulatory reporting as well as disclosure standards related to ESG. Among the highlights were recent initiatives put forth that could support positive developments. The SEC currently has two rule proposals under review geared towards improving disclosure as well as increasing transparency for investors. </w:t>
      </w:r>
    </w:p>
    <w:p w14:paraId="1739188E" w14:textId="1151F694" w:rsidR="004771A7" w:rsidRDefault="00CA10E6" w:rsidP="00CA10E6">
      <w:pPr>
        <w:spacing w:beforeLines="60" w:before="144" w:afterLines="60" w:after="144" w:line="360" w:lineRule="auto"/>
        <w:ind w:left="-288"/>
        <w:rPr>
          <w:rFonts w:ascii="Georgia" w:hAnsi="Georgia"/>
          <w:sz w:val="20"/>
          <w:szCs w:val="20"/>
        </w:rPr>
      </w:pPr>
      <w:r w:rsidRPr="00CA10E6">
        <w:rPr>
          <w:rFonts w:ascii="Georgia" w:hAnsi="Georgia"/>
          <w:sz w:val="20"/>
          <w:szCs w:val="20"/>
        </w:rPr>
        <w:t>The Enhancement and Standardization of Climate-Related Disclosures</w:t>
      </w:r>
      <w:r w:rsidR="00DF6D2F">
        <w:rPr>
          <w:rStyle w:val="FootnoteReference"/>
          <w:rFonts w:ascii="Georgia" w:hAnsi="Georgia"/>
          <w:sz w:val="20"/>
          <w:szCs w:val="20"/>
        </w:rPr>
        <w:footnoteReference w:id="4"/>
      </w:r>
      <w:r w:rsidRPr="00CA10E6">
        <w:rPr>
          <w:rFonts w:ascii="Georgia" w:hAnsi="Georgia"/>
          <w:sz w:val="20"/>
          <w:szCs w:val="20"/>
        </w:rPr>
        <w:t xml:space="preserve"> will require domestic or foreign registrants to include certain climate-related information in their registration statements and periodic reports, such as on Form 10-K. The Amendments to the Fund “Names Rule”</w:t>
      </w:r>
      <w:r w:rsidR="00C51E85">
        <w:rPr>
          <w:rStyle w:val="FootnoteReference"/>
          <w:rFonts w:ascii="Georgia" w:hAnsi="Georgia"/>
          <w:sz w:val="20"/>
          <w:szCs w:val="20"/>
        </w:rPr>
        <w:footnoteReference w:id="5"/>
      </w:r>
      <w:r w:rsidRPr="00CA10E6">
        <w:rPr>
          <w:rFonts w:ascii="Georgia" w:hAnsi="Georgia"/>
          <w:sz w:val="20"/>
          <w:szCs w:val="20"/>
        </w:rPr>
        <w:t xml:space="preserve">  will expand the current requirement for certain funds to adopt a policy to invest at least 80</w:t>
      </w:r>
      <w:r w:rsidR="000D0F88">
        <w:rPr>
          <w:rFonts w:ascii="Georgia" w:hAnsi="Georgia"/>
          <w:sz w:val="20"/>
          <w:szCs w:val="20"/>
        </w:rPr>
        <w:t xml:space="preserve">% </w:t>
      </w:r>
      <w:r w:rsidRPr="00CA10E6">
        <w:rPr>
          <w:rFonts w:ascii="Georgia" w:hAnsi="Georgia"/>
          <w:sz w:val="20"/>
          <w:szCs w:val="20"/>
        </w:rPr>
        <w:t xml:space="preserve">of their assets in accordance with the investment focus that the fund’s name suggests as well as provide new enhanced disclosure and reporting requirements. The former will </w:t>
      </w:r>
      <w:r w:rsidRPr="00CA10E6">
        <w:rPr>
          <w:rFonts w:ascii="Georgia" w:hAnsi="Georgia"/>
          <w:sz w:val="20"/>
          <w:szCs w:val="20"/>
        </w:rPr>
        <w:lastRenderedPageBreak/>
        <w:t>establish greater transparency for a corporation’s exposure to climate risk; the latter will help mitigate the effect of “greenwashing” by placing greater scrutiny on fund naming conventions and underlying holdings/strategy. These seem to us like encouraging steps forward in improving transparency for investors without unnecessarily hindering companies or fund managers.</w:t>
      </w:r>
    </w:p>
    <w:p w14:paraId="5BE07DD5" w14:textId="0CA8AAD3" w:rsidR="00B112E5" w:rsidRPr="00191D8E" w:rsidRDefault="0002270F" w:rsidP="00B112E5">
      <w:pPr>
        <w:spacing w:beforeLines="60" w:before="144" w:afterLines="60" w:after="144" w:line="360" w:lineRule="auto"/>
        <w:ind w:left="-288"/>
        <w:rPr>
          <w:rFonts w:ascii="Georgia" w:hAnsi="Georgia"/>
          <w:sz w:val="20"/>
          <w:szCs w:val="20"/>
        </w:rPr>
      </w:pPr>
      <w:r>
        <w:rPr>
          <w:rFonts w:ascii="Georgia" w:hAnsi="Georgia"/>
          <w:b/>
          <w:bCs/>
          <w:color w:val="00B0F0"/>
          <w:sz w:val="28"/>
          <w:szCs w:val="36"/>
        </w:rPr>
        <w:t>S</w:t>
      </w:r>
      <w:r w:rsidR="00425F59">
        <w:rPr>
          <w:rFonts w:ascii="Georgia" w:hAnsi="Georgia"/>
          <w:b/>
          <w:bCs/>
          <w:color w:val="00B0F0"/>
          <w:sz w:val="28"/>
          <w:szCs w:val="36"/>
        </w:rPr>
        <w:t xml:space="preserve">till </w:t>
      </w:r>
      <w:r w:rsidR="00C20819">
        <w:rPr>
          <w:rFonts w:ascii="Georgia" w:hAnsi="Georgia"/>
          <w:b/>
          <w:bCs/>
          <w:color w:val="00B0F0"/>
          <w:sz w:val="28"/>
          <w:szCs w:val="36"/>
        </w:rPr>
        <w:t>“</w:t>
      </w:r>
      <w:r w:rsidR="00425F59">
        <w:rPr>
          <w:rFonts w:ascii="Georgia" w:hAnsi="Georgia"/>
          <w:b/>
          <w:bCs/>
          <w:color w:val="00B0F0"/>
          <w:sz w:val="28"/>
          <w:szCs w:val="36"/>
        </w:rPr>
        <w:t>a</w:t>
      </w:r>
      <w:r w:rsidR="00C20819">
        <w:rPr>
          <w:rFonts w:ascii="Georgia" w:hAnsi="Georgia"/>
          <w:b/>
          <w:bCs/>
          <w:color w:val="00B0F0"/>
          <w:sz w:val="28"/>
          <w:szCs w:val="36"/>
        </w:rPr>
        <w:t xml:space="preserve"> </w:t>
      </w:r>
      <w:r w:rsidR="002A2D75">
        <w:rPr>
          <w:rFonts w:ascii="Georgia" w:hAnsi="Georgia"/>
          <w:b/>
          <w:bCs/>
          <w:color w:val="00B0F0"/>
          <w:sz w:val="28"/>
          <w:szCs w:val="36"/>
        </w:rPr>
        <w:t>way</w:t>
      </w:r>
      <w:r w:rsidR="00A62A9B">
        <w:rPr>
          <w:rFonts w:ascii="Georgia" w:hAnsi="Georgia"/>
          <w:b/>
          <w:bCs/>
          <w:color w:val="00B0F0"/>
          <w:sz w:val="28"/>
          <w:szCs w:val="36"/>
        </w:rPr>
        <w:t>s</w:t>
      </w:r>
      <w:r w:rsidR="00425F59">
        <w:rPr>
          <w:rFonts w:ascii="Georgia" w:hAnsi="Georgia"/>
          <w:b/>
          <w:bCs/>
          <w:color w:val="00B0F0"/>
          <w:sz w:val="28"/>
          <w:szCs w:val="36"/>
        </w:rPr>
        <w:t xml:space="preserve"> to go</w:t>
      </w:r>
      <w:r w:rsidR="00C20819">
        <w:rPr>
          <w:rFonts w:ascii="Georgia" w:hAnsi="Georgia"/>
          <w:b/>
          <w:bCs/>
          <w:color w:val="00B0F0"/>
          <w:sz w:val="28"/>
          <w:szCs w:val="36"/>
        </w:rPr>
        <w:t>”</w:t>
      </w:r>
    </w:p>
    <w:p w14:paraId="4B9F86F5" w14:textId="7378E627" w:rsidR="00B112E5" w:rsidRPr="00B112E5" w:rsidRDefault="00B112E5" w:rsidP="00B112E5">
      <w:pPr>
        <w:spacing w:beforeLines="60" w:before="144" w:afterLines="60" w:after="144" w:line="360" w:lineRule="auto"/>
        <w:ind w:left="-288"/>
        <w:rPr>
          <w:rFonts w:ascii="Georgia" w:hAnsi="Georgia"/>
          <w:sz w:val="20"/>
          <w:szCs w:val="20"/>
        </w:rPr>
      </w:pPr>
      <w:r w:rsidRPr="00B112E5">
        <w:rPr>
          <w:rFonts w:ascii="Georgia" w:hAnsi="Georgia"/>
          <w:sz w:val="20"/>
          <w:szCs w:val="20"/>
        </w:rPr>
        <w:t>On the other hand, with regards to “ESG scoring</w:t>
      </w:r>
      <w:r w:rsidR="000A6811">
        <w:rPr>
          <w:rFonts w:ascii="Georgia" w:hAnsi="Georgia"/>
          <w:sz w:val="20"/>
          <w:szCs w:val="20"/>
        </w:rPr>
        <w:t>”</w:t>
      </w:r>
      <w:r w:rsidRPr="00B112E5">
        <w:rPr>
          <w:rFonts w:ascii="Georgia" w:hAnsi="Georgia"/>
          <w:sz w:val="20"/>
          <w:szCs w:val="20"/>
        </w:rPr>
        <w:t xml:space="preserve">, </w:t>
      </w:r>
      <w:r w:rsidRPr="00A80C57">
        <w:rPr>
          <w:rFonts w:ascii="Georgia" w:hAnsi="Georgia"/>
          <w:color w:val="FF0000"/>
          <w:sz w:val="20"/>
          <w:szCs w:val="20"/>
        </w:rPr>
        <w:t>Fiducient</w:t>
      </w:r>
      <w:r w:rsidR="000D0F88" w:rsidRPr="00A80C57">
        <w:rPr>
          <w:rFonts w:ascii="Georgia" w:hAnsi="Georgia"/>
          <w:color w:val="FF0000"/>
          <w:sz w:val="20"/>
          <w:szCs w:val="20"/>
        </w:rPr>
        <w:t xml:space="preserve"> Advisors</w:t>
      </w:r>
      <w:r w:rsidRPr="00A80C57">
        <w:rPr>
          <w:rFonts w:ascii="Georgia" w:hAnsi="Georgia"/>
          <w:color w:val="FF0000"/>
          <w:sz w:val="20"/>
          <w:szCs w:val="20"/>
        </w:rPr>
        <w:t xml:space="preserve"> </w:t>
      </w:r>
      <w:r w:rsidRPr="00B112E5">
        <w:rPr>
          <w:rFonts w:ascii="Georgia" w:hAnsi="Georgia"/>
          <w:sz w:val="20"/>
          <w:szCs w:val="20"/>
        </w:rPr>
        <w:t>has noted in the past that ratings among various providers are</w:t>
      </w:r>
      <w:r w:rsidR="008C4F55">
        <w:rPr>
          <w:rFonts w:ascii="Georgia" w:hAnsi="Georgia"/>
          <w:sz w:val="20"/>
          <w:szCs w:val="20"/>
        </w:rPr>
        <w:t>,</w:t>
      </w:r>
      <w:r w:rsidRPr="00B112E5">
        <w:rPr>
          <w:rFonts w:ascii="Georgia" w:hAnsi="Georgia"/>
          <w:sz w:val="20"/>
          <w:szCs w:val="20"/>
        </w:rPr>
        <w:t xml:space="preserve"> at a minimum</w:t>
      </w:r>
      <w:r w:rsidR="008C4F55">
        <w:rPr>
          <w:rFonts w:ascii="Georgia" w:hAnsi="Georgia"/>
          <w:sz w:val="20"/>
          <w:szCs w:val="20"/>
        </w:rPr>
        <w:t>,</w:t>
      </w:r>
      <w:r w:rsidRPr="00B112E5">
        <w:rPr>
          <w:rFonts w:ascii="Georgia" w:hAnsi="Georgia"/>
          <w:sz w:val="20"/>
          <w:szCs w:val="20"/>
        </w:rPr>
        <w:t xml:space="preserve"> inconsistent</w:t>
      </w:r>
      <w:r w:rsidR="00421C10">
        <w:rPr>
          <w:rStyle w:val="FootnoteReference"/>
          <w:rFonts w:ascii="Georgia" w:hAnsi="Georgia"/>
          <w:sz w:val="20"/>
          <w:szCs w:val="20"/>
        </w:rPr>
        <w:footnoteReference w:id="6"/>
      </w:r>
      <w:r w:rsidRPr="00B112E5">
        <w:rPr>
          <w:rFonts w:ascii="Georgia" w:hAnsi="Georgia"/>
          <w:sz w:val="20"/>
          <w:szCs w:val="20"/>
        </w:rPr>
        <w:t xml:space="preserve">. Some have gone further to argue that motivations, if not the math, producing such ratings are misaligned. We don’t place any emphasis on such metrics and advise investors </w:t>
      </w:r>
      <w:r w:rsidR="00AA7CEA">
        <w:rPr>
          <w:rFonts w:ascii="Georgia" w:hAnsi="Georgia"/>
          <w:sz w:val="20"/>
          <w:szCs w:val="20"/>
        </w:rPr>
        <w:t xml:space="preserve">use this type of information as a tool rather than simply taking </w:t>
      </w:r>
      <w:r w:rsidRPr="00B112E5">
        <w:rPr>
          <w:rFonts w:ascii="Georgia" w:hAnsi="Georgia"/>
          <w:sz w:val="20"/>
          <w:szCs w:val="20"/>
        </w:rPr>
        <w:t xml:space="preserve">them at face value. There remains optimism that one day such evaluations could be as informative (if not consistent) as those provided by credit </w:t>
      </w:r>
      <w:r w:rsidR="00E32EB4">
        <w:rPr>
          <w:rFonts w:ascii="Georgia" w:hAnsi="Georgia"/>
          <w:sz w:val="20"/>
          <w:szCs w:val="20"/>
        </w:rPr>
        <w:t>rating</w:t>
      </w:r>
      <w:r w:rsidR="00E32EB4" w:rsidRPr="00B112E5">
        <w:rPr>
          <w:rFonts w:ascii="Georgia" w:hAnsi="Georgia"/>
          <w:sz w:val="20"/>
          <w:szCs w:val="20"/>
        </w:rPr>
        <w:t xml:space="preserve"> </w:t>
      </w:r>
      <w:r w:rsidRPr="00B112E5">
        <w:rPr>
          <w:rFonts w:ascii="Georgia" w:hAnsi="Georgia"/>
          <w:sz w:val="20"/>
          <w:szCs w:val="20"/>
        </w:rPr>
        <w:t>agencies – though even those are prone to having gaps.</w:t>
      </w:r>
    </w:p>
    <w:p w14:paraId="12188CDC" w14:textId="261ABDEA" w:rsidR="00950530" w:rsidRDefault="002A2D75" w:rsidP="00950530">
      <w:pPr>
        <w:spacing w:beforeLines="60" w:before="144" w:afterLines="60" w:after="144" w:line="360" w:lineRule="auto"/>
        <w:ind w:left="-288"/>
        <w:rPr>
          <w:rFonts w:ascii="Georgia" w:hAnsi="Georgia"/>
          <w:sz w:val="20"/>
          <w:szCs w:val="20"/>
        </w:rPr>
      </w:pPr>
      <w:bookmarkStart w:id="0" w:name="_Hlk126577152"/>
      <w:r w:rsidRPr="002A2D75">
        <w:rPr>
          <w:rFonts w:ascii="Georgia" w:hAnsi="Georgia"/>
          <w:sz w:val="20"/>
          <w:szCs w:val="20"/>
        </w:rPr>
        <w:t xml:space="preserve">In practice, we found that </w:t>
      </w:r>
      <w:proofErr w:type="gramStart"/>
      <w:r w:rsidRPr="002A2D75">
        <w:rPr>
          <w:rFonts w:ascii="Georgia" w:hAnsi="Georgia"/>
          <w:sz w:val="20"/>
          <w:szCs w:val="20"/>
        </w:rPr>
        <w:t>a majority of</w:t>
      </w:r>
      <w:proofErr w:type="gramEnd"/>
      <w:r w:rsidRPr="002A2D75">
        <w:rPr>
          <w:rFonts w:ascii="Georgia" w:hAnsi="Georgia"/>
          <w:sz w:val="20"/>
          <w:szCs w:val="20"/>
        </w:rPr>
        <w:t xml:space="preserve"> active asset managers we cover incorporate some level of ESG into their investment process</w:t>
      </w:r>
      <w:r w:rsidR="008C680B">
        <w:rPr>
          <w:rFonts w:ascii="Georgia" w:hAnsi="Georgia"/>
          <w:sz w:val="20"/>
          <w:szCs w:val="20"/>
        </w:rPr>
        <w:t xml:space="preserve">. However, in our view </w:t>
      </w:r>
      <w:r w:rsidR="00B91002">
        <w:rPr>
          <w:rFonts w:ascii="Georgia" w:hAnsi="Georgia"/>
          <w:sz w:val="20"/>
          <w:szCs w:val="20"/>
        </w:rPr>
        <w:t xml:space="preserve">less than a third do so in a way that is </w:t>
      </w:r>
      <w:r w:rsidR="0043333D">
        <w:rPr>
          <w:rFonts w:ascii="Georgia" w:hAnsi="Georgia"/>
          <w:sz w:val="20"/>
          <w:szCs w:val="20"/>
        </w:rPr>
        <w:t xml:space="preserve">consistent and </w:t>
      </w:r>
      <w:r w:rsidR="00B91002">
        <w:rPr>
          <w:rFonts w:ascii="Georgia" w:hAnsi="Georgia"/>
          <w:sz w:val="20"/>
          <w:szCs w:val="20"/>
        </w:rPr>
        <w:t>material</w:t>
      </w:r>
      <w:r w:rsidR="0043333D">
        <w:rPr>
          <w:rFonts w:ascii="Georgia" w:hAnsi="Georgia"/>
          <w:sz w:val="20"/>
          <w:szCs w:val="20"/>
        </w:rPr>
        <w:t xml:space="preserve"> to </w:t>
      </w:r>
      <w:r w:rsidR="005D0B6A">
        <w:rPr>
          <w:rFonts w:ascii="Georgia" w:hAnsi="Georgia"/>
          <w:sz w:val="20"/>
          <w:szCs w:val="20"/>
        </w:rPr>
        <w:t xml:space="preserve">final </w:t>
      </w:r>
      <w:r w:rsidR="008C680B">
        <w:rPr>
          <w:rFonts w:ascii="Georgia" w:hAnsi="Georgia"/>
          <w:sz w:val="20"/>
          <w:szCs w:val="20"/>
        </w:rPr>
        <w:t>investment decisions</w:t>
      </w:r>
      <w:r w:rsidR="0043333D">
        <w:rPr>
          <w:rFonts w:ascii="Georgia" w:hAnsi="Georgia"/>
          <w:sz w:val="20"/>
          <w:szCs w:val="20"/>
        </w:rPr>
        <w:t>.</w:t>
      </w:r>
      <w:r w:rsidR="00A96A22">
        <w:rPr>
          <w:rStyle w:val="FootnoteReference"/>
          <w:rFonts w:ascii="Georgia" w:hAnsi="Georgia"/>
          <w:sz w:val="20"/>
          <w:szCs w:val="20"/>
        </w:rPr>
        <w:footnoteReference w:id="7"/>
      </w:r>
      <w:r w:rsidR="0043333D">
        <w:rPr>
          <w:rFonts w:ascii="Georgia" w:hAnsi="Georgia"/>
          <w:sz w:val="20"/>
          <w:szCs w:val="20"/>
        </w:rPr>
        <w:t xml:space="preserve"> With that in mind w</w:t>
      </w:r>
      <w:r w:rsidRPr="002A2D75">
        <w:rPr>
          <w:rFonts w:ascii="Georgia" w:hAnsi="Georgia"/>
          <w:sz w:val="20"/>
          <w:szCs w:val="20"/>
        </w:rPr>
        <w:t xml:space="preserve">e remain leery </w:t>
      </w:r>
      <w:r w:rsidR="002D0283">
        <w:rPr>
          <w:rFonts w:ascii="Georgia" w:hAnsi="Georgia"/>
          <w:sz w:val="20"/>
          <w:szCs w:val="20"/>
        </w:rPr>
        <w:t>of</w:t>
      </w:r>
      <w:r w:rsidRPr="002A2D75">
        <w:rPr>
          <w:rFonts w:ascii="Georgia" w:hAnsi="Georgia"/>
          <w:sz w:val="20"/>
          <w:szCs w:val="20"/>
        </w:rPr>
        <w:t xml:space="preserve"> those in the industry seeking to capitalize on ESG </w:t>
      </w:r>
      <w:r w:rsidR="002D0283">
        <w:rPr>
          <w:rFonts w:ascii="Georgia" w:hAnsi="Georgia"/>
          <w:sz w:val="20"/>
          <w:szCs w:val="20"/>
        </w:rPr>
        <w:t xml:space="preserve">assets with </w:t>
      </w:r>
      <w:r w:rsidR="00B42C24">
        <w:rPr>
          <w:rFonts w:ascii="Georgia" w:hAnsi="Georgia"/>
          <w:sz w:val="20"/>
          <w:szCs w:val="20"/>
        </w:rPr>
        <w:t>modest follow through on a</w:t>
      </w:r>
      <w:r w:rsidR="008C4F55">
        <w:rPr>
          <w:rFonts w:ascii="Georgia" w:hAnsi="Georgia"/>
          <w:sz w:val="20"/>
          <w:szCs w:val="20"/>
        </w:rPr>
        <w:t>n</w:t>
      </w:r>
      <w:r w:rsidR="00B42C24">
        <w:rPr>
          <w:rFonts w:ascii="Georgia" w:hAnsi="Georgia"/>
          <w:sz w:val="20"/>
          <w:szCs w:val="20"/>
        </w:rPr>
        <w:t xml:space="preserve"> ESG product </w:t>
      </w:r>
      <w:r w:rsidR="008C4F55">
        <w:rPr>
          <w:rFonts w:ascii="Georgia" w:hAnsi="Georgia"/>
          <w:sz w:val="20"/>
          <w:szCs w:val="20"/>
        </w:rPr>
        <w:t>–</w:t>
      </w:r>
      <w:r w:rsidR="00B42C24">
        <w:rPr>
          <w:rFonts w:ascii="Georgia" w:hAnsi="Georgia"/>
          <w:sz w:val="20"/>
          <w:szCs w:val="20"/>
        </w:rPr>
        <w:t xml:space="preserve"> a</w:t>
      </w:r>
      <w:r w:rsidR="008C4F55">
        <w:rPr>
          <w:rFonts w:ascii="Georgia" w:hAnsi="Georgia"/>
          <w:sz w:val="20"/>
          <w:szCs w:val="20"/>
        </w:rPr>
        <w:t>lso known as</w:t>
      </w:r>
      <w:r w:rsidRPr="002A2D75">
        <w:rPr>
          <w:rFonts w:ascii="Georgia" w:hAnsi="Georgia"/>
          <w:sz w:val="20"/>
          <w:szCs w:val="20"/>
        </w:rPr>
        <w:t xml:space="preserve"> “greenwashing.” Nonetheless, the motivation to incorporate ESG </w:t>
      </w:r>
      <w:r w:rsidR="005D0B6A">
        <w:rPr>
          <w:rFonts w:ascii="Georgia" w:hAnsi="Georgia"/>
          <w:sz w:val="20"/>
          <w:szCs w:val="20"/>
        </w:rPr>
        <w:t xml:space="preserve">remains. </w:t>
      </w:r>
      <w:r w:rsidR="00036586">
        <w:rPr>
          <w:rFonts w:ascii="Georgia" w:hAnsi="Georgia"/>
          <w:sz w:val="20"/>
          <w:szCs w:val="20"/>
        </w:rPr>
        <w:t>T</w:t>
      </w:r>
      <w:r w:rsidRPr="002A2D75">
        <w:rPr>
          <w:rFonts w:ascii="Georgia" w:hAnsi="Georgia"/>
          <w:sz w:val="20"/>
          <w:szCs w:val="20"/>
        </w:rPr>
        <w:t xml:space="preserve">he attempt to optimize exposure to companies that offer the most attractive long-term return profiles </w:t>
      </w:r>
      <w:r w:rsidR="0019238D">
        <w:rPr>
          <w:rFonts w:ascii="Georgia" w:hAnsi="Georgia"/>
          <w:sz w:val="20"/>
          <w:szCs w:val="20"/>
        </w:rPr>
        <w:t>h</w:t>
      </w:r>
      <w:r w:rsidR="00106884">
        <w:rPr>
          <w:rFonts w:ascii="Georgia" w:hAnsi="Georgia"/>
          <w:sz w:val="20"/>
          <w:szCs w:val="20"/>
        </w:rPr>
        <w:t xml:space="preserve">as </w:t>
      </w:r>
      <w:r w:rsidR="00727307">
        <w:rPr>
          <w:rFonts w:ascii="Georgia" w:hAnsi="Georgia"/>
          <w:sz w:val="20"/>
          <w:szCs w:val="20"/>
        </w:rPr>
        <w:t xml:space="preserve">intuitive alignment </w:t>
      </w:r>
      <w:r w:rsidR="0019238D">
        <w:rPr>
          <w:rFonts w:ascii="Georgia" w:hAnsi="Georgia"/>
          <w:sz w:val="20"/>
          <w:szCs w:val="20"/>
        </w:rPr>
        <w:t xml:space="preserve">with </w:t>
      </w:r>
      <w:r w:rsidR="009D310F">
        <w:rPr>
          <w:rFonts w:ascii="Georgia" w:hAnsi="Georgia"/>
          <w:sz w:val="20"/>
          <w:szCs w:val="20"/>
        </w:rPr>
        <w:t xml:space="preserve">many long-term ESG objectives. </w:t>
      </w:r>
      <w:r w:rsidRPr="002A2D75">
        <w:rPr>
          <w:rFonts w:ascii="Georgia" w:hAnsi="Georgia"/>
          <w:sz w:val="20"/>
          <w:szCs w:val="20"/>
        </w:rPr>
        <w:t>As proponents of the mosaic theory, it’s about the use of the whole picture</w:t>
      </w:r>
      <w:r w:rsidR="009D310F">
        <w:rPr>
          <w:rFonts w:ascii="Georgia" w:hAnsi="Georgia"/>
          <w:sz w:val="20"/>
          <w:szCs w:val="20"/>
        </w:rPr>
        <w:t xml:space="preserve">. </w:t>
      </w:r>
    </w:p>
    <w:bookmarkEnd w:id="0"/>
    <w:p w14:paraId="52E0884C" w14:textId="61BDEED1" w:rsidR="00950530" w:rsidRPr="00191D8E" w:rsidRDefault="00950530" w:rsidP="00950530">
      <w:pPr>
        <w:spacing w:beforeLines="60" w:before="144" w:afterLines="60" w:after="144" w:line="360" w:lineRule="auto"/>
        <w:ind w:left="-288"/>
        <w:rPr>
          <w:rFonts w:ascii="Georgia" w:hAnsi="Georgia"/>
          <w:sz w:val="20"/>
          <w:szCs w:val="20"/>
        </w:rPr>
      </w:pPr>
      <w:r>
        <w:rPr>
          <w:rFonts w:ascii="Georgia" w:hAnsi="Georgia"/>
          <w:b/>
          <w:bCs/>
          <w:color w:val="00B0F0"/>
          <w:sz w:val="28"/>
          <w:szCs w:val="36"/>
        </w:rPr>
        <w:t>Where does that put us today?</w:t>
      </w:r>
    </w:p>
    <w:p w14:paraId="2B03DE3C" w14:textId="6BA238C5" w:rsidR="002A2D75" w:rsidRPr="002A2D75" w:rsidRDefault="002A2D75" w:rsidP="002A2D75">
      <w:pPr>
        <w:spacing w:beforeLines="60" w:before="144" w:afterLines="60" w:after="144" w:line="360" w:lineRule="auto"/>
        <w:ind w:left="-288"/>
        <w:rPr>
          <w:rFonts w:ascii="Georgia" w:hAnsi="Georgia"/>
          <w:sz w:val="20"/>
          <w:szCs w:val="20"/>
        </w:rPr>
      </w:pPr>
      <w:r w:rsidRPr="002A2D75">
        <w:rPr>
          <w:rFonts w:ascii="Georgia" w:hAnsi="Georgia"/>
          <w:sz w:val="20"/>
          <w:szCs w:val="20"/>
        </w:rPr>
        <w:t>Our philosophy and process toward ESG investing is embedded within what we describe as mission-aligned investing. It is structured to be client-centric and driven by the specific values prioritized.</w:t>
      </w:r>
      <w:r w:rsidR="005A3231">
        <w:rPr>
          <w:rFonts w:ascii="Georgia" w:hAnsi="Georgia"/>
          <w:sz w:val="20"/>
          <w:szCs w:val="20"/>
        </w:rPr>
        <w:t xml:space="preserve"> </w:t>
      </w:r>
      <w:r w:rsidR="005A3231" w:rsidRPr="002A2D75">
        <w:rPr>
          <w:rFonts w:ascii="Georgia" w:hAnsi="Georgia"/>
          <w:sz w:val="20"/>
          <w:szCs w:val="20"/>
        </w:rPr>
        <w:t xml:space="preserve">For almost all investors, it is about education and creating a shared understanding of the terms, </w:t>
      </w:r>
      <w:proofErr w:type="gramStart"/>
      <w:r w:rsidR="005A3231" w:rsidRPr="002A2D75">
        <w:rPr>
          <w:rFonts w:ascii="Georgia" w:hAnsi="Georgia"/>
          <w:sz w:val="20"/>
          <w:szCs w:val="20"/>
        </w:rPr>
        <w:t>risks</w:t>
      </w:r>
      <w:proofErr w:type="gramEnd"/>
      <w:r w:rsidR="005A3231" w:rsidRPr="002A2D75">
        <w:rPr>
          <w:rFonts w:ascii="Georgia" w:hAnsi="Georgia"/>
          <w:sz w:val="20"/>
          <w:szCs w:val="20"/>
        </w:rPr>
        <w:t xml:space="preserve"> and opportunities. </w:t>
      </w:r>
      <w:r w:rsidRPr="002A2D75">
        <w:rPr>
          <w:rFonts w:ascii="Georgia" w:hAnsi="Georgia"/>
          <w:sz w:val="20"/>
          <w:szCs w:val="20"/>
        </w:rPr>
        <w:t xml:space="preserve">Our role is to listen first to </w:t>
      </w:r>
      <w:r w:rsidR="00C1531A">
        <w:rPr>
          <w:rFonts w:ascii="Georgia" w:hAnsi="Georgia"/>
          <w:sz w:val="20"/>
          <w:szCs w:val="20"/>
        </w:rPr>
        <w:t>our</w:t>
      </w:r>
      <w:r w:rsidRPr="002A2D75">
        <w:rPr>
          <w:rFonts w:ascii="Georgia" w:hAnsi="Georgia"/>
          <w:sz w:val="20"/>
          <w:szCs w:val="20"/>
        </w:rPr>
        <w:t xml:space="preserve"> client’s concerns, understand their unique value system and provide a path toward aligning said beliefs with their investment portfolio </w:t>
      </w:r>
      <w:r w:rsidR="00271749">
        <w:rPr>
          <w:rFonts w:ascii="Georgia" w:hAnsi="Georgia"/>
          <w:sz w:val="20"/>
          <w:szCs w:val="20"/>
        </w:rPr>
        <w:t>in a pragmatic way</w:t>
      </w:r>
      <w:r w:rsidRPr="002A2D75">
        <w:rPr>
          <w:rFonts w:ascii="Georgia" w:hAnsi="Georgia"/>
          <w:sz w:val="20"/>
          <w:szCs w:val="20"/>
        </w:rPr>
        <w:t xml:space="preserve">. </w:t>
      </w:r>
    </w:p>
    <w:p w14:paraId="49D22772" w14:textId="0FB833AB" w:rsidR="004771A7" w:rsidRDefault="002A2D75" w:rsidP="0018751E">
      <w:pPr>
        <w:spacing w:beforeLines="60" w:before="144" w:afterLines="60" w:after="144" w:line="360" w:lineRule="auto"/>
        <w:ind w:left="-288"/>
        <w:rPr>
          <w:rFonts w:ascii="Georgia" w:hAnsi="Georgia"/>
          <w:sz w:val="20"/>
          <w:szCs w:val="20"/>
        </w:rPr>
      </w:pPr>
      <w:r w:rsidRPr="002A2D75">
        <w:rPr>
          <w:rFonts w:ascii="Georgia" w:hAnsi="Georgia"/>
          <w:sz w:val="20"/>
          <w:szCs w:val="20"/>
        </w:rPr>
        <w:t xml:space="preserve">While there is no specific reference to ESG investing in his book </w:t>
      </w:r>
      <w:r w:rsidRPr="0002646E">
        <w:rPr>
          <w:rFonts w:ascii="Georgia" w:hAnsi="Georgia"/>
          <w:i/>
          <w:iCs/>
          <w:sz w:val="20"/>
          <w:szCs w:val="20"/>
        </w:rPr>
        <w:t>Pioneering Portfolio Management</w:t>
      </w:r>
      <w:r w:rsidRPr="002A2D75">
        <w:rPr>
          <w:rFonts w:ascii="Georgia" w:hAnsi="Georgia"/>
          <w:sz w:val="20"/>
          <w:szCs w:val="20"/>
        </w:rPr>
        <w:t>, the late David Swensen provides advice on the investment process that may aid how we approach (READ not solve) this dilemma: “Creating a governance process that encourages long-term, independent, contrarian thinking represents a critical undertaking for endowed institutions.</w:t>
      </w:r>
      <w:r w:rsidR="0056673D">
        <w:rPr>
          <w:rStyle w:val="FootnoteReference"/>
          <w:rFonts w:ascii="Georgia" w:hAnsi="Georgia"/>
          <w:sz w:val="20"/>
          <w:szCs w:val="20"/>
        </w:rPr>
        <w:footnoteReference w:id="8"/>
      </w:r>
      <w:r w:rsidRPr="002A2D75">
        <w:rPr>
          <w:rFonts w:ascii="Georgia" w:hAnsi="Georgia"/>
          <w:sz w:val="20"/>
          <w:szCs w:val="20"/>
        </w:rPr>
        <w:t>” We echo such sentiment and urge investors to continue to think long-term, ask and discuss difficult questions</w:t>
      </w:r>
      <w:r w:rsidR="00CF5165">
        <w:rPr>
          <w:rFonts w:ascii="Georgia" w:hAnsi="Georgia"/>
          <w:sz w:val="20"/>
          <w:szCs w:val="20"/>
        </w:rPr>
        <w:t xml:space="preserve"> and</w:t>
      </w:r>
      <w:r w:rsidRPr="002A2D75">
        <w:rPr>
          <w:rFonts w:ascii="Georgia" w:hAnsi="Georgia"/>
          <w:sz w:val="20"/>
          <w:szCs w:val="20"/>
        </w:rPr>
        <w:t xml:space="preserve"> </w:t>
      </w:r>
      <w:r w:rsidR="007B73A3">
        <w:rPr>
          <w:rFonts w:ascii="Georgia" w:hAnsi="Georgia"/>
          <w:sz w:val="20"/>
          <w:szCs w:val="20"/>
        </w:rPr>
        <w:t>avoid sensationalism</w:t>
      </w:r>
      <w:r w:rsidR="00CF5165">
        <w:rPr>
          <w:rFonts w:ascii="Georgia" w:hAnsi="Georgia"/>
          <w:sz w:val="20"/>
          <w:szCs w:val="20"/>
        </w:rPr>
        <w:t>. Reality tends to live in the g</w:t>
      </w:r>
      <w:r w:rsidR="00037E13">
        <w:rPr>
          <w:rFonts w:ascii="Georgia" w:hAnsi="Georgia"/>
          <w:sz w:val="20"/>
          <w:szCs w:val="20"/>
        </w:rPr>
        <w:t>r</w:t>
      </w:r>
      <w:r w:rsidR="00CF5165">
        <w:rPr>
          <w:rFonts w:ascii="Georgia" w:hAnsi="Georgia"/>
          <w:sz w:val="20"/>
          <w:szCs w:val="20"/>
        </w:rPr>
        <w:t>ay and i</w:t>
      </w:r>
      <w:r w:rsidR="009A5B65">
        <w:rPr>
          <w:rFonts w:ascii="Georgia" w:hAnsi="Georgia"/>
          <w:sz w:val="20"/>
          <w:szCs w:val="20"/>
        </w:rPr>
        <w:t>f these topics matter to your institution they are worth the effort</w:t>
      </w:r>
      <w:r w:rsidR="003278EA">
        <w:rPr>
          <w:rFonts w:ascii="Georgia" w:hAnsi="Georgia"/>
          <w:sz w:val="20"/>
          <w:szCs w:val="20"/>
        </w:rPr>
        <w:t xml:space="preserve">. </w:t>
      </w:r>
      <w:r w:rsidR="00265EA3">
        <w:rPr>
          <w:rFonts w:ascii="Georgia" w:hAnsi="Georgia"/>
          <w:sz w:val="20"/>
          <w:szCs w:val="20"/>
        </w:rPr>
        <w:t>D</w:t>
      </w:r>
      <w:r w:rsidRPr="002A2D75">
        <w:rPr>
          <w:rFonts w:ascii="Georgia" w:hAnsi="Georgia"/>
          <w:sz w:val="20"/>
          <w:szCs w:val="20"/>
        </w:rPr>
        <w:t>espite a desire to think green – ESG is likely to remain gray for some time to come.</w:t>
      </w:r>
    </w:p>
    <w:p w14:paraId="500BA397" w14:textId="0346D1AA" w:rsidR="00191D8E" w:rsidRDefault="0018751E" w:rsidP="00F547FA">
      <w:pPr>
        <w:spacing w:beforeLines="60" w:before="144" w:afterLines="60" w:after="144" w:line="360" w:lineRule="auto"/>
        <w:ind w:left="-288"/>
        <w:rPr>
          <w:rFonts w:ascii="Georgia" w:hAnsi="Georgia"/>
          <w:sz w:val="20"/>
          <w:szCs w:val="20"/>
        </w:rPr>
      </w:pPr>
      <w:r>
        <w:rPr>
          <w:rFonts w:ascii="Georgia" w:hAnsi="Georgia"/>
          <w:sz w:val="20"/>
          <w:szCs w:val="20"/>
        </w:rPr>
        <w:lastRenderedPageBreak/>
        <w:t xml:space="preserve">Please reach out to any of the Associates at </w:t>
      </w:r>
      <w:r w:rsidRPr="00A80C57">
        <w:rPr>
          <w:rFonts w:ascii="Georgia" w:hAnsi="Georgia"/>
          <w:color w:val="FF0000"/>
          <w:sz w:val="20"/>
          <w:szCs w:val="20"/>
        </w:rPr>
        <w:t xml:space="preserve">Fiducient Advisors </w:t>
      </w:r>
      <w:r>
        <w:rPr>
          <w:rFonts w:ascii="Georgia" w:hAnsi="Georgia"/>
          <w:sz w:val="20"/>
          <w:szCs w:val="20"/>
        </w:rPr>
        <w:t>for additional information on ESG or mission-aligned investing.</w:t>
      </w:r>
    </w:p>
    <w:p w14:paraId="296D137E" w14:textId="794AED95" w:rsidR="007968F3" w:rsidRPr="00E735FD" w:rsidRDefault="007968F3" w:rsidP="00F547FA">
      <w:pPr>
        <w:spacing w:beforeLines="60" w:before="144" w:afterLines="60" w:after="144" w:line="360" w:lineRule="auto"/>
        <w:ind w:left="-288"/>
        <w:rPr>
          <w:rFonts w:ascii="Georgia" w:hAnsi="Georgia"/>
          <w:sz w:val="20"/>
          <w:szCs w:val="20"/>
        </w:rPr>
      </w:pPr>
    </w:p>
    <w:p w14:paraId="4561FF9C" w14:textId="3305DD12" w:rsidR="00E735FD" w:rsidRPr="00E735FD" w:rsidRDefault="00E735FD" w:rsidP="00F547FA">
      <w:pPr>
        <w:spacing w:beforeLines="60" w:before="144" w:afterLines="60" w:after="144" w:line="360" w:lineRule="auto"/>
        <w:ind w:left="-288"/>
        <w:rPr>
          <w:rFonts w:ascii="Georgia" w:hAnsi="Georgia"/>
          <w:color w:val="000000" w:themeColor="text1"/>
          <w:sz w:val="22"/>
          <w:szCs w:val="22"/>
        </w:rPr>
      </w:pPr>
    </w:p>
    <w:p w14:paraId="58F33F2E" w14:textId="5ED1E00F" w:rsidR="00291B5E" w:rsidRPr="00E735FD" w:rsidRDefault="00291B5E" w:rsidP="00F547FA">
      <w:pPr>
        <w:spacing w:beforeLines="60" w:before="144" w:afterLines="60" w:after="144" w:line="360" w:lineRule="auto"/>
        <w:ind w:left="-288"/>
        <w:rPr>
          <w:rFonts w:ascii="Georgia" w:hAnsi="Georgia"/>
          <w:color w:val="000000" w:themeColor="text1"/>
          <w:sz w:val="22"/>
          <w:szCs w:val="22"/>
        </w:rPr>
      </w:pPr>
    </w:p>
    <w:p w14:paraId="3A6F8530" w14:textId="45DC26C9" w:rsidR="007304CF" w:rsidRPr="00E735FD" w:rsidRDefault="007304CF" w:rsidP="00F547FA">
      <w:pPr>
        <w:pStyle w:val="NoSpacing"/>
        <w:tabs>
          <w:tab w:val="right" w:pos="10980"/>
        </w:tabs>
        <w:spacing w:beforeLines="60" w:before="144" w:afterLines="60" w:after="144" w:line="360" w:lineRule="exact"/>
        <w:ind w:right="-144"/>
        <w:rPr>
          <w:rFonts w:ascii="Georgia" w:hAnsi="Georgia" w:cs="Arial"/>
          <w:sz w:val="20"/>
          <w:szCs w:val="20"/>
        </w:rPr>
      </w:pPr>
      <w:r w:rsidRPr="00E735FD">
        <w:rPr>
          <w:rFonts w:ascii="Georgia" w:hAnsi="Georgia" w:cs="Arial"/>
          <w:sz w:val="20"/>
          <w:szCs w:val="20"/>
        </w:rPr>
        <w:tab/>
        <w:t xml:space="preserve"> </w:t>
      </w:r>
    </w:p>
    <w:p w14:paraId="62BDA8D1" w14:textId="19DD3BF1" w:rsidR="007304CF" w:rsidRPr="00E735FD" w:rsidRDefault="007304CF" w:rsidP="00F547FA">
      <w:pPr>
        <w:spacing w:beforeLines="60" w:before="144" w:afterLines="60" w:after="144"/>
        <w:ind w:left="-288"/>
        <w:rPr>
          <w:rFonts w:ascii="Georgia" w:hAnsi="Georgia"/>
          <w:color w:val="162853"/>
          <w:sz w:val="40"/>
          <w:szCs w:val="40"/>
        </w:rPr>
      </w:pPr>
    </w:p>
    <w:sectPr w:rsidR="007304CF" w:rsidRPr="00E735FD" w:rsidSect="00EC52EE">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152"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6A6E" w14:textId="77777777" w:rsidR="00C44053" w:rsidRDefault="00C44053" w:rsidP="00BA7138">
      <w:r>
        <w:separator/>
      </w:r>
    </w:p>
  </w:endnote>
  <w:endnote w:type="continuationSeparator" w:id="0">
    <w:p w14:paraId="4743A0F3" w14:textId="77777777" w:rsidR="00C44053" w:rsidRDefault="00C44053" w:rsidP="00BA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26E7" w14:textId="77777777" w:rsidR="00E735FD" w:rsidRPr="007A30D3" w:rsidRDefault="00E735FD" w:rsidP="00E735FD">
    <w:pPr>
      <w:jc w:val="center"/>
      <w:rPr>
        <w:color w:val="002856"/>
      </w:rPr>
    </w:pPr>
    <w:r w:rsidRPr="007A30D3">
      <w:rPr>
        <w:rFonts w:ascii="Helvetica" w:hAnsi="Helvetica" w:cs="Helvetica"/>
        <w:color w:val="002856"/>
        <w:sz w:val="18"/>
        <w:szCs w:val="18"/>
      </w:rPr>
      <w:t>www.</w:t>
    </w:r>
    <w:r w:rsidRPr="007A30D3">
      <w:rPr>
        <w:rFonts w:ascii="Arial" w:hAnsi="Arial" w:cs="Arial"/>
        <w:color w:val="002856"/>
        <w:sz w:val="18"/>
        <w:szCs w:val="18"/>
      </w:rPr>
      <w:t>FiducientAdvisors.com</w:t>
    </w:r>
  </w:p>
  <w:p w14:paraId="7D5DCC22" w14:textId="77777777" w:rsidR="00E735FD" w:rsidRPr="00E735FD" w:rsidRDefault="00E735FD" w:rsidP="00E7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CCF" w14:textId="77777777" w:rsidR="00D73390" w:rsidRDefault="00D73390" w:rsidP="004771A7">
    <w:pPr>
      <w:jc w:val="center"/>
      <w:rPr>
        <w:rFonts w:ascii="Helvetica" w:hAnsi="Helvetica" w:cs="Helvetica"/>
        <w:color w:val="002856"/>
        <w:sz w:val="18"/>
        <w:szCs w:val="18"/>
      </w:rPr>
    </w:pPr>
  </w:p>
  <w:p w14:paraId="3CD7C935" w14:textId="21B29D00" w:rsidR="004771A7" w:rsidRPr="00A80C57" w:rsidRDefault="004771A7" w:rsidP="00DE113E">
    <w:pPr>
      <w:jc w:val="center"/>
      <w:rPr>
        <w:color w:val="FF0000"/>
      </w:rPr>
    </w:pPr>
    <w:r w:rsidRPr="00A80C57">
      <w:rPr>
        <w:rFonts w:ascii="Helvetica" w:hAnsi="Helvetica" w:cs="Helvetica"/>
        <w:color w:val="FF0000"/>
        <w:sz w:val="18"/>
        <w:szCs w:val="18"/>
      </w:rPr>
      <w:t>www.</w:t>
    </w:r>
    <w:r w:rsidRPr="00A80C57">
      <w:rPr>
        <w:rFonts w:ascii="Arial" w:hAnsi="Arial" w:cs="Arial"/>
        <w:color w:val="FF0000"/>
        <w:sz w:val="18"/>
        <w:szCs w:val="18"/>
      </w:rPr>
      <w:t>FiducientAdvisors.com</w:t>
    </w:r>
  </w:p>
  <w:p w14:paraId="2FBC99D4" w14:textId="56463049" w:rsidR="00291B5E" w:rsidRDefault="00291B5E">
    <w:pPr>
      <w:pStyle w:val="Footer"/>
    </w:pPr>
  </w:p>
  <w:p w14:paraId="5368A0FA" w14:textId="77777777" w:rsidR="00291B5E" w:rsidRDefault="00291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F82" w14:textId="77777777" w:rsidR="005C58CA" w:rsidRDefault="005C58CA" w:rsidP="00EC52EE">
    <w:pPr>
      <w:ind w:left="-360" w:right="-720"/>
      <w:rPr>
        <w:rFonts w:ascii="Georgia" w:hAnsi="Georgia"/>
        <w:i/>
        <w:iCs/>
        <w:sz w:val="16"/>
        <w:szCs w:val="16"/>
      </w:rPr>
    </w:pPr>
    <w:r w:rsidRPr="005C58CA">
      <w:rPr>
        <w:rFonts w:ascii="Georgia" w:hAnsi="Georgia"/>
        <w:i/>
        <w:iCs/>
        <w:sz w:val="16"/>
        <w:szCs w:val="16"/>
      </w:rPr>
      <w:t>This report is intended for the exclusive use of clients or prospective clients (the “recipient”) of Fiducient Advisors and the information contained herein is confidential and the dissemination or distribution to any other person without the prior approval of Fiducient Advisors is strictly prohibited. Information has been obtained from sources believed to be reliable, though not independently verified. Any forecasts are hypothetical and represent future expectations and not actual return volatilities and correlations will differ from forecasts. This report does not represent a specific investment recommendation. The opinions and analysis expressed herein are based on Fiducient Advisor research and professional experience and are expressed as of the date of this report. Please consult with your advisor, attorney and accountant, as appropriate, regarding specific advice. Past performance does not indicate future performance and there is risk of loss.</w:t>
    </w:r>
  </w:p>
  <w:p w14:paraId="4DF2B03E" w14:textId="5CCFA545" w:rsidR="004771A7" w:rsidRPr="0092374E" w:rsidRDefault="004771A7" w:rsidP="005C58CA">
    <w:pPr>
      <w:ind w:left="2520" w:right="-720" w:firstLine="720"/>
      <w:rPr>
        <w:color w:val="FF0000"/>
      </w:rPr>
    </w:pPr>
    <w:r w:rsidRPr="0092374E">
      <w:rPr>
        <w:rFonts w:ascii="Helvetica" w:hAnsi="Helvetica" w:cs="Helvetica"/>
        <w:color w:val="FF0000"/>
        <w:sz w:val="18"/>
        <w:szCs w:val="18"/>
      </w:rPr>
      <w:t>www.</w:t>
    </w:r>
    <w:r w:rsidRPr="0092374E">
      <w:rPr>
        <w:rFonts w:ascii="Arial" w:hAnsi="Arial" w:cs="Arial"/>
        <w:color w:val="FF0000"/>
        <w:sz w:val="18"/>
        <w:szCs w:val="18"/>
      </w:rPr>
      <w:t>FiducientAdvisors.com</w:t>
    </w:r>
  </w:p>
  <w:p w14:paraId="1080C715" w14:textId="77777777" w:rsidR="004771A7" w:rsidRDefault="0047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4808" w14:textId="77777777" w:rsidR="00C44053" w:rsidRDefault="00C44053" w:rsidP="00BA7138">
      <w:r>
        <w:separator/>
      </w:r>
    </w:p>
  </w:footnote>
  <w:footnote w:type="continuationSeparator" w:id="0">
    <w:p w14:paraId="06087869" w14:textId="77777777" w:rsidR="00C44053" w:rsidRDefault="00C44053" w:rsidP="00BA7138">
      <w:r>
        <w:continuationSeparator/>
      </w:r>
    </w:p>
  </w:footnote>
  <w:footnote w:id="1">
    <w:p w14:paraId="5064666B" w14:textId="1FC74CD9" w:rsidR="0012634A" w:rsidRPr="00F02496" w:rsidRDefault="0012634A" w:rsidP="00F02496">
      <w:pPr>
        <w:pStyle w:val="FootnoteText"/>
        <w:ind w:hanging="270"/>
        <w:rPr>
          <w:rFonts w:ascii="Georgia" w:hAnsi="Georgia"/>
          <w:i/>
          <w:iCs/>
          <w:sz w:val="16"/>
          <w:szCs w:val="16"/>
          <w:u w:val="single"/>
        </w:rPr>
      </w:pPr>
      <w:r w:rsidRPr="00F02496">
        <w:rPr>
          <w:rStyle w:val="FootnoteReference"/>
          <w:rFonts w:ascii="Georgia" w:hAnsi="Georgia"/>
          <w:i/>
          <w:iCs/>
          <w:sz w:val="16"/>
          <w:szCs w:val="16"/>
          <w:u w:val="single"/>
        </w:rPr>
        <w:footnoteRef/>
      </w:r>
      <w:r w:rsidRPr="00F02496">
        <w:rPr>
          <w:rFonts w:ascii="Georgia" w:hAnsi="Georgia"/>
          <w:i/>
          <w:iCs/>
          <w:sz w:val="16"/>
          <w:szCs w:val="16"/>
          <w:u w:val="single"/>
        </w:rPr>
        <w:t xml:space="preserve"> </w:t>
      </w:r>
      <w:hyperlink r:id="rId1" w:anchor=":~:text=The%20analysis%20of%20ESG%20materiality%20has%20led%20to,%E2%80%9Cstate%20of%20being%E2%80%9D%20but%20a%20%E2%80%9Cprocess%20of%20becoming.%E2%80%9D" w:history="1">
        <w:r w:rsidRPr="00F02496">
          <w:rPr>
            <w:rStyle w:val="Hyperlink"/>
            <w:rFonts w:ascii="Georgia" w:hAnsi="Georgia"/>
            <w:i/>
            <w:iCs/>
            <w:color w:val="auto"/>
            <w:sz w:val="16"/>
            <w:szCs w:val="16"/>
          </w:rPr>
          <w:t>Integrating SASB Standards Into a Dynamic ESG Composite Score - SASB</w:t>
        </w:r>
      </w:hyperlink>
      <w:r w:rsidR="00590860">
        <w:rPr>
          <w:rStyle w:val="Hyperlink"/>
          <w:rFonts w:ascii="Georgia" w:hAnsi="Georgia"/>
          <w:i/>
          <w:iCs/>
          <w:color w:val="auto"/>
          <w:sz w:val="16"/>
          <w:szCs w:val="16"/>
        </w:rPr>
        <w:t>, October 14, 2021</w:t>
      </w:r>
    </w:p>
  </w:footnote>
  <w:footnote w:id="2">
    <w:p w14:paraId="093F19F5" w14:textId="3516F4E3" w:rsidR="0023060A" w:rsidRPr="00F02496" w:rsidRDefault="0023060A" w:rsidP="00F02496">
      <w:pPr>
        <w:pStyle w:val="FootnoteText"/>
        <w:ind w:hanging="270"/>
        <w:rPr>
          <w:rFonts w:ascii="Georgia" w:hAnsi="Georgia"/>
          <w:i/>
          <w:iCs/>
          <w:sz w:val="16"/>
          <w:szCs w:val="16"/>
          <w:u w:val="single"/>
        </w:rPr>
      </w:pPr>
      <w:r w:rsidRPr="00F02496">
        <w:rPr>
          <w:rStyle w:val="FootnoteReference"/>
          <w:rFonts w:ascii="Georgia" w:hAnsi="Georgia"/>
          <w:i/>
          <w:iCs/>
          <w:sz w:val="16"/>
          <w:szCs w:val="16"/>
          <w:u w:val="single"/>
        </w:rPr>
        <w:footnoteRef/>
      </w:r>
      <w:r w:rsidRPr="00F02496">
        <w:rPr>
          <w:rFonts w:ascii="Georgia" w:hAnsi="Georgia"/>
          <w:i/>
          <w:iCs/>
          <w:sz w:val="16"/>
          <w:szCs w:val="16"/>
          <w:u w:val="single"/>
        </w:rPr>
        <w:t xml:space="preserve"> </w:t>
      </w:r>
      <w:hyperlink r:id="rId2" w:history="1">
        <w:r w:rsidR="004F036A" w:rsidRPr="00F02496">
          <w:rPr>
            <w:rStyle w:val="Hyperlink"/>
            <w:rFonts w:ascii="Georgia" w:hAnsi="Georgia"/>
            <w:i/>
            <w:iCs/>
            <w:color w:val="auto"/>
            <w:sz w:val="16"/>
            <w:szCs w:val="16"/>
          </w:rPr>
          <w:t>IIRC/SASB Merger Complete, New Value Reporting Foundation Takes Flight (nysscpa.org)</w:t>
        </w:r>
      </w:hyperlink>
      <w:r w:rsidR="00590860">
        <w:rPr>
          <w:rStyle w:val="Hyperlink"/>
          <w:rFonts w:ascii="Georgia" w:hAnsi="Georgia"/>
          <w:i/>
          <w:iCs/>
          <w:color w:val="auto"/>
          <w:sz w:val="16"/>
          <w:szCs w:val="16"/>
        </w:rPr>
        <w:t>, June 9, 2021</w:t>
      </w:r>
    </w:p>
  </w:footnote>
  <w:footnote w:id="3">
    <w:p w14:paraId="273C4515" w14:textId="3B4B732F" w:rsidR="000B6953" w:rsidRPr="00F02496" w:rsidRDefault="000B6953" w:rsidP="00F02496">
      <w:pPr>
        <w:pStyle w:val="FootnoteText"/>
        <w:ind w:hanging="270"/>
        <w:rPr>
          <w:rFonts w:ascii="Georgia" w:hAnsi="Georgia"/>
          <w:i/>
          <w:iCs/>
          <w:sz w:val="16"/>
          <w:szCs w:val="16"/>
          <w:u w:val="single"/>
        </w:rPr>
      </w:pPr>
      <w:r w:rsidRPr="00F02496">
        <w:rPr>
          <w:rStyle w:val="FootnoteReference"/>
          <w:rFonts w:ascii="Georgia" w:hAnsi="Georgia"/>
          <w:i/>
          <w:iCs/>
          <w:sz w:val="16"/>
          <w:szCs w:val="16"/>
          <w:u w:val="single"/>
        </w:rPr>
        <w:footnoteRef/>
      </w:r>
      <w:r w:rsidRPr="00F02496">
        <w:rPr>
          <w:rFonts w:ascii="Georgia" w:hAnsi="Georgia"/>
          <w:i/>
          <w:iCs/>
          <w:sz w:val="16"/>
          <w:szCs w:val="16"/>
          <w:u w:val="single"/>
        </w:rPr>
        <w:t xml:space="preserve"> </w:t>
      </w:r>
      <w:hyperlink r:id="rId3" w:history="1">
        <w:r w:rsidRPr="00F02496">
          <w:rPr>
            <w:rStyle w:val="Hyperlink"/>
            <w:rFonts w:ascii="Georgia" w:hAnsi="Georgia"/>
            <w:i/>
            <w:iCs/>
            <w:color w:val="auto"/>
            <w:sz w:val="16"/>
            <w:szCs w:val="16"/>
          </w:rPr>
          <w:t>IFRS - SASB Standards</w:t>
        </w:r>
      </w:hyperlink>
    </w:p>
  </w:footnote>
  <w:footnote w:id="4">
    <w:p w14:paraId="0AE86776" w14:textId="2E37EBDB" w:rsidR="00DF6D2F" w:rsidRPr="00495A8D" w:rsidRDefault="00DF6D2F" w:rsidP="00F02496">
      <w:pPr>
        <w:pStyle w:val="FootnoteText"/>
        <w:ind w:hanging="270"/>
        <w:rPr>
          <w:rFonts w:ascii="Georgia" w:hAnsi="Georgia"/>
        </w:rPr>
      </w:pPr>
      <w:r w:rsidRPr="00F02496">
        <w:rPr>
          <w:rStyle w:val="FootnoteReference"/>
          <w:rFonts w:ascii="Georgia" w:hAnsi="Georgia"/>
          <w:i/>
          <w:iCs/>
          <w:sz w:val="16"/>
          <w:szCs w:val="16"/>
          <w:u w:val="single"/>
        </w:rPr>
        <w:footnoteRef/>
      </w:r>
      <w:r w:rsidRPr="00F02496">
        <w:rPr>
          <w:rFonts w:ascii="Georgia" w:hAnsi="Georgia"/>
          <w:i/>
          <w:iCs/>
          <w:sz w:val="16"/>
          <w:szCs w:val="16"/>
          <w:u w:val="single"/>
        </w:rPr>
        <w:t xml:space="preserve"> </w:t>
      </w:r>
      <w:hyperlink r:id="rId4" w:history="1">
        <w:r w:rsidRPr="00F02496">
          <w:rPr>
            <w:rStyle w:val="Hyperlink"/>
            <w:rFonts w:ascii="Georgia" w:hAnsi="Georgia"/>
            <w:i/>
            <w:iCs/>
            <w:color w:val="auto"/>
            <w:sz w:val="16"/>
            <w:szCs w:val="16"/>
          </w:rPr>
          <w:t>SEC.gov | SEC Proposes Rules to Enhance and Standardize Climate-Related Disclosures for Investors</w:t>
        </w:r>
      </w:hyperlink>
      <w:r w:rsidR="00590860">
        <w:rPr>
          <w:rStyle w:val="Hyperlink"/>
          <w:rFonts w:ascii="Georgia" w:hAnsi="Georgia"/>
          <w:i/>
          <w:iCs/>
          <w:color w:val="auto"/>
          <w:sz w:val="16"/>
          <w:szCs w:val="16"/>
        </w:rPr>
        <w:t>, March 21, 2022</w:t>
      </w:r>
    </w:p>
  </w:footnote>
  <w:footnote w:id="5">
    <w:p w14:paraId="4D1734ED" w14:textId="1997C037" w:rsidR="00C51E85" w:rsidRPr="00F02496" w:rsidRDefault="00C51E85" w:rsidP="00F02496">
      <w:pPr>
        <w:pStyle w:val="FootnoteText"/>
        <w:ind w:hanging="360"/>
        <w:rPr>
          <w:rFonts w:ascii="Georgia" w:hAnsi="Georgia"/>
          <w:i/>
          <w:iCs/>
          <w:sz w:val="16"/>
          <w:szCs w:val="16"/>
        </w:rPr>
      </w:pPr>
      <w:r w:rsidRPr="00F02496">
        <w:rPr>
          <w:rStyle w:val="FootnoteReference"/>
          <w:rFonts w:ascii="Georgia" w:hAnsi="Georgia"/>
          <w:i/>
          <w:iCs/>
          <w:sz w:val="16"/>
          <w:szCs w:val="16"/>
        </w:rPr>
        <w:footnoteRef/>
      </w:r>
      <w:r w:rsidR="0034574E" w:rsidRPr="00F02496">
        <w:rPr>
          <w:rFonts w:ascii="Georgia" w:hAnsi="Georgia"/>
          <w:i/>
          <w:iCs/>
          <w:sz w:val="16"/>
          <w:szCs w:val="16"/>
        </w:rPr>
        <w:t xml:space="preserve"> </w:t>
      </w:r>
      <w:hyperlink r:id="rId5" w:anchor=":~:text=The%20Names%20Rule%20currently%20requires,80%20percent%20investment%20policy%E2%80%9D)." w:history="1">
        <w:r w:rsidR="00966834" w:rsidRPr="00F02496">
          <w:rPr>
            <w:rStyle w:val="Hyperlink"/>
            <w:rFonts w:ascii="Georgia" w:hAnsi="Georgia"/>
            <w:i/>
            <w:iCs/>
            <w:color w:val="auto"/>
            <w:sz w:val="16"/>
            <w:szCs w:val="16"/>
          </w:rPr>
          <w:t>SEC.gov | SEC Proposes Rule Changes to Prevent Misleading or Deceptive Fund Names</w:t>
        </w:r>
      </w:hyperlink>
      <w:r w:rsidR="00590860">
        <w:rPr>
          <w:rStyle w:val="Hyperlink"/>
          <w:rFonts w:ascii="Georgia" w:hAnsi="Georgia"/>
          <w:i/>
          <w:iCs/>
          <w:color w:val="auto"/>
          <w:sz w:val="16"/>
          <w:szCs w:val="16"/>
        </w:rPr>
        <w:t>, May 25, 2022</w:t>
      </w:r>
    </w:p>
  </w:footnote>
  <w:footnote w:id="6">
    <w:p w14:paraId="2F08C3C1" w14:textId="7EB59878" w:rsidR="00421C10" w:rsidRPr="00F02496" w:rsidRDefault="00421C10" w:rsidP="00F02496">
      <w:pPr>
        <w:pStyle w:val="FootnoteText"/>
        <w:ind w:hanging="360"/>
        <w:rPr>
          <w:rFonts w:ascii="Georgia" w:hAnsi="Georgia"/>
          <w:i/>
          <w:iCs/>
          <w:sz w:val="16"/>
          <w:szCs w:val="16"/>
        </w:rPr>
      </w:pPr>
      <w:r w:rsidRPr="00F02496">
        <w:rPr>
          <w:rStyle w:val="FootnoteReference"/>
          <w:rFonts w:ascii="Georgia" w:hAnsi="Georgia"/>
          <w:i/>
          <w:iCs/>
          <w:sz w:val="16"/>
          <w:szCs w:val="16"/>
        </w:rPr>
        <w:footnoteRef/>
      </w:r>
      <w:r w:rsidRPr="00F02496">
        <w:rPr>
          <w:rFonts w:ascii="Georgia" w:hAnsi="Georgia"/>
          <w:i/>
          <w:iCs/>
          <w:sz w:val="16"/>
          <w:szCs w:val="16"/>
        </w:rPr>
        <w:t xml:space="preserve"> </w:t>
      </w:r>
      <w:hyperlink r:id="rId6" w:history="1">
        <w:r w:rsidRPr="00F02496">
          <w:rPr>
            <w:rStyle w:val="Hyperlink"/>
            <w:rFonts w:ascii="Georgia" w:hAnsi="Georgia"/>
            <w:i/>
            <w:iCs/>
            <w:color w:val="auto"/>
            <w:sz w:val="16"/>
            <w:szCs w:val="16"/>
          </w:rPr>
          <w:t>ESG Data Perspectives - Shared Purpose May Not Lead to Shared Interpretations - Fiducient (fiducientadvisors.com)</w:t>
        </w:r>
      </w:hyperlink>
      <w:r w:rsidR="00590860">
        <w:rPr>
          <w:rStyle w:val="Hyperlink"/>
          <w:rFonts w:ascii="Georgia" w:hAnsi="Georgia"/>
          <w:i/>
          <w:iCs/>
          <w:color w:val="auto"/>
          <w:sz w:val="16"/>
          <w:szCs w:val="16"/>
        </w:rPr>
        <w:t>, December 7, 2020</w:t>
      </w:r>
    </w:p>
  </w:footnote>
  <w:footnote w:id="7">
    <w:p w14:paraId="4DD4BC9B" w14:textId="699E42B8" w:rsidR="00A96A22" w:rsidRPr="00495A8D" w:rsidRDefault="00A96A22" w:rsidP="00F02496">
      <w:pPr>
        <w:pStyle w:val="FootnoteText"/>
        <w:ind w:hanging="360"/>
        <w:rPr>
          <w:rFonts w:ascii="Georgia" w:hAnsi="Georgia"/>
        </w:rPr>
      </w:pPr>
      <w:r w:rsidRPr="00F02496">
        <w:rPr>
          <w:rStyle w:val="FootnoteReference"/>
          <w:rFonts w:ascii="Georgia" w:hAnsi="Georgia"/>
          <w:i/>
          <w:iCs/>
          <w:sz w:val="16"/>
          <w:szCs w:val="16"/>
        </w:rPr>
        <w:footnoteRef/>
      </w:r>
      <w:r w:rsidRPr="00F02496">
        <w:rPr>
          <w:rFonts w:ascii="Georgia" w:hAnsi="Georgia"/>
          <w:i/>
          <w:iCs/>
          <w:sz w:val="16"/>
          <w:szCs w:val="16"/>
        </w:rPr>
        <w:t xml:space="preserve"> </w:t>
      </w:r>
      <w:hyperlink r:id="rId7" w:history="1">
        <w:r w:rsidRPr="00F02496">
          <w:rPr>
            <w:rStyle w:val="Hyperlink"/>
            <w:rFonts w:ascii="Georgia" w:hAnsi="Georgia"/>
            <w:i/>
            <w:iCs/>
            <w:color w:val="auto"/>
            <w:sz w:val="16"/>
            <w:szCs w:val="16"/>
          </w:rPr>
          <w:t>Greenwashing in ESG: Don’t Judge a Book by its Cover - Fiducient (fiducientadvisors.com)</w:t>
        </w:r>
      </w:hyperlink>
      <w:r w:rsidR="00590860">
        <w:rPr>
          <w:rStyle w:val="Hyperlink"/>
          <w:rFonts w:ascii="Georgia" w:hAnsi="Georgia"/>
          <w:i/>
          <w:iCs/>
          <w:color w:val="auto"/>
          <w:sz w:val="16"/>
          <w:szCs w:val="16"/>
        </w:rPr>
        <w:t>, December 15, 2021</w:t>
      </w:r>
    </w:p>
  </w:footnote>
  <w:footnote w:id="8">
    <w:p w14:paraId="28A2DBF3" w14:textId="60E692BB" w:rsidR="0056673D" w:rsidRPr="0056673D" w:rsidRDefault="0056673D" w:rsidP="0056673D">
      <w:pPr>
        <w:pStyle w:val="FootnoteText"/>
        <w:ind w:hanging="360"/>
        <w:rPr>
          <w:rFonts w:ascii="Georgia" w:hAnsi="Georgia"/>
        </w:rPr>
      </w:pPr>
      <w:r w:rsidRPr="0056673D">
        <w:rPr>
          <w:rStyle w:val="FootnoteReference"/>
          <w:rFonts w:ascii="Georgia" w:hAnsi="Georgia"/>
          <w:sz w:val="16"/>
          <w:szCs w:val="16"/>
        </w:rPr>
        <w:footnoteRef/>
      </w:r>
      <w:r>
        <w:rPr>
          <w:rFonts w:ascii="Georgia" w:hAnsi="Georgia"/>
        </w:rPr>
        <w:t xml:space="preserve"> </w:t>
      </w:r>
      <w:r w:rsidRPr="0056673D">
        <w:rPr>
          <w:rFonts w:ascii="Georgia" w:hAnsi="Georgia"/>
          <w:i/>
          <w:iCs/>
          <w:sz w:val="16"/>
          <w:szCs w:val="16"/>
        </w:rPr>
        <w:t>Pioneering Portfolio Management, David Swensen,</w:t>
      </w:r>
      <w:r>
        <w:rPr>
          <w:rFonts w:ascii="Georgia" w:hAnsi="Georgia"/>
          <w:i/>
          <w:iCs/>
          <w:sz w:val="16"/>
          <w:szCs w:val="16"/>
        </w:rPr>
        <w:t xml:space="preserve"> January 6,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DD8F" w14:textId="77777777" w:rsidR="009C4F39" w:rsidRDefault="009C4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9BA6" w14:textId="3C064E36" w:rsidR="00A80C57" w:rsidRDefault="00A80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2DD4" w14:textId="324C813A" w:rsidR="00A80C57" w:rsidRDefault="00A8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99C"/>
    <w:multiLevelType w:val="hybridMultilevel"/>
    <w:tmpl w:val="497A54C8"/>
    <w:lvl w:ilvl="0" w:tplc="EFD2D064">
      <w:numFmt w:val="bullet"/>
      <w:lvlText w:val="•"/>
      <w:lvlJc w:val="left"/>
      <w:pPr>
        <w:ind w:left="72" w:hanging="360"/>
      </w:pPr>
      <w:rPr>
        <w:rFonts w:ascii="Georgia" w:eastAsiaTheme="minorHAnsi" w:hAnsi="Georgia" w:cstheme="minorBidi"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7A9462E2"/>
    <w:multiLevelType w:val="hybridMultilevel"/>
    <w:tmpl w:val="8DE8A8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847403205">
    <w:abstractNumId w:val="1"/>
  </w:num>
  <w:num w:numId="2" w16cid:durableId="44580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62"/>
    <w:rsid w:val="0002270F"/>
    <w:rsid w:val="0002646E"/>
    <w:rsid w:val="0003129E"/>
    <w:rsid w:val="00036586"/>
    <w:rsid w:val="00037E13"/>
    <w:rsid w:val="000811D3"/>
    <w:rsid w:val="00087AD4"/>
    <w:rsid w:val="000A1D24"/>
    <w:rsid w:val="000A6811"/>
    <w:rsid w:val="000B6953"/>
    <w:rsid w:val="000C3159"/>
    <w:rsid w:val="000D0F88"/>
    <w:rsid w:val="000F2C88"/>
    <w:rsid w:val="00104E5E"/>
    <w:rsid w:val="00106524"/>
    <w:rsid w:val="00106884"/>
    <w:rsid w:val="001251B4"/>
    <w:rsid w:val="00125F09"/>
    <w:rsid w:val="0012634A"/>
    <w:rsid w:val="0013093A"/>
    <w:rsid w:val="00175A05"/>
    <w:rsid w:val="00177EAC"/>
    <w:rsid w:val="0018751E"/>
    <w:rsid w:val="00191D8E"/>
    <w:rsid w:val="0019238D"/>
    <w:rsid w:val="001A6A61"/>
    <w:rsid w:val="001C0C8D"/>
    <w:rsid w:val="001D3C71"/>
    <w:rsid w:val="001D6821"/>
    <w:rsid w:val="001E258F"/>
    <w:rsid w:val="001E59CC"/>
    <w:rsid w:val="00200AB4"/>
    <w:rsid w:val="002059F6"/>
    <w:rsid w:val="0022327D"/>
    <w:rsid w:val="0023060A"/>
    <w:rsid w:val="00247489"/>
    <w:rsid w:val="00252DB9"/>
    <w:rsid w:val="00265EA3"/>
    <w:rsid w:val="00271749"/>
    <w:rsid w:val="00271F12"/>
    <w:rsid w:val="00291B5E"/>
    <w:rsid w:val="002A2D75"/>
    <w:rsid w:val="002B31D9"/>
    <w:rsid w:val="002D0283"/>
    <w:rsid w:val="00302A56"/>
    <w:rsid w:val="00302C30"/>
    <w:rsid w:val="00304A7F"/>
    <w:rsid w:val="00324B16"/>
    <w:rsid w:val="003278EA"/>
    <w:rsid w:val="003316E4"/>
    <w:rsid w:val="0034574E"/>
    <w:rsid w:val="00355FC1"/>
    <w:rsid w:val="00380448"/>
    <w:rsid w:val="00382662"/>
    <w:rsid w:val="00392AA0"/>
    <w:rsid w:val="003A58EB"/>
    <w:rsid w:val="003A655C"/>
    <w:rsid w:val="003A7943"/>
    <w:rsid w:val="003B4F0E"/>
    <w:rsid w:val="003C0ED1"/>
    <w:rsid w:val="003E5FC0"/>
    <w:rsid w:val="003E6F11"/>
    <w:rsid w:val="003F5179"/>
    <w:rsid w:val="003F521A"/>
    <w:rsid w:val="00421C10"/>
    <w:rsid w:val="00425F59"/>
    <w:rsid w:val="0043333D"/>
    <w:rsid w:val="0043714A"/>
    <w:rsid w:val="00465D09"/>
    <w:rsid w:val="004771A7"/>
    <w:rsid w:val="00495A8D"/>
    <w:rsid w:val="004A5173"/>
    <w:rsid w:val="004B0073"/>
    <w:rsid w:val="004B2A5B"/>
    <w:rsid w:val="004B330C"/>
    <w:rsid w:val="004B4479"/>
    <w:rsid w:val="004E3D33"/>
    <w:rsid w:val="004F036A"/>
    <w:rsid w:val="004F0616"/>
    <w:rsid w:val="004F32FF"/>
    <w:rsid w:val="00500835"/>
    <w:rsid w:val="00517E18"/>
    <w:rsid w:val="00532FB7"/>
    <w:rsid w:val="00534318"/>
    <w:rsid w:val="00543265"/>
    <w:rsid w:val="00553EEB"/>
    <w:rsid w:val="005624C2"/>
    <w:rsid w:val="00564CE1"/>
    <w:rsid w:val="0056673D"/>
    <w:rsid w:val="00590860"/>
    <w:rsid w:val="005A3231"/>
    <w:rsid w:val="005A4945"/>
    <w:rsid w:val="005C58CA"/>
    <w:rsid w:val="005D0B6A"/>
    <w:rsid w:val="00605218"/>
    <w:rsid w:val="00630C72"/>
    <w:rsid w:val="00631A0B"/>
    <w:rsid w:val="0064605F"/>
    <w:rsid w:val="006704B4"/>
    <w:rsid w:val="00670F6C"/>
    <w:rsid w:val="0069237E"/>
    <w:rsid w:val="006A0330"/>
    <w:rsid w:val="006B0B8A"/>
    <w:rsid w:val="006D0FB1"/>
    <w:rsid w:val="0070332A"/>
    <w:rsid w:val="00727307"/>
    <w:rsid w:val="007304CF"/>
    <w:rsid w:val="0076028B"/>
    <w:rsid w:val="00764A32"/>
    <w:rsid w:val="007748BE"/>
    <w:rsid w:val="00774F6F"/>
    <w:rsid w:val="007968F3"/>
    <w:rsid w:val="007A5A9D"/>
    <w:rsid w:val="007B73A3"/>
    <w:rsid w:val="007D5409"/>
    <w:rsid w:val="007E7729"/>
    <w:rsid w:val="007E7AD1"/>
    <w:rsid w:val="007F3646"/>
    <w:rsid w:val="007F5E39"/>
    <w:rsid w:val="008179C7"/>
    <w:rsid w:val="00825D1B"/>
    <w:rsid w:val="00827436"/>
    <w:rsid w:val="00873A5C"/>
    <w:rsid w:val="00874604"/>
    <w:rsid w:val="00881F5B"/>
    <w:rsid w:val="00886248"/>
    <w:rsid w:val="008C4F55"/>
    <w:rsid w:val="008C680B"/>
    <w:rsid w:val="008F5473"/>
    <w:rsid w:val="008F6E24"/>
    <w:rsid w:val="00915499"/>
    <w:rsid w:val="0092374E"/>
    <w:rsid w:val="00930D3B"/>
    <w:rsid w:val="00950022"/>
    <w:rsid w:val="00950530"/>
    <w:rsid w:val="009547BB"/>
    <w:rsid w:val="00966834"/>
    <w:rsid w:val="00974B96"/>
    <w:rsid w:val="009A5B65"/>
    <w:rsid w:val="009C4F39"/>
    <w:rsid w:val="009D2DE6"/>
    <w:rsid w:val="009D310F"/>
    <w:rsid w:val="00A510EA"/>
    <w:rsid w:val="00A578AE"/>
    <w:rsid w:val="00A62A9B"/>
    <w:rsid w:val="00A73919"/>
    <w:rsid w:val="00A80C57"/>
    <w:rsid w:val="00A85412"/>
    <w:rsid w:val="00A94A32"/>
    <w:rsid w:val="00A95EE6"/>
    <w:rsid w:val="00A96A22"/>
    <w:rsid w:val="00AA7CEA"/>
    <w:rsid w:val="00AC2A09"/>
    <w:rsid w:val="00AD5A23"/>
    <w:rsid w:val="00B01B0D"/>
    <w:rsid w:val="00B112E5"/>
    <w:rsid w:val="00B140E6"/>
    <w:rsid w:val="00B35868"/>
    <w:rsid w:val="00B37D00"/>
    <w:rsid w:val="00B40217"/>
    <w:rsid w:val="00B42C24"/>
    <w:rsid w:val="00B43A74"/>
    <w:rsid w:val="00B50AE9"/>
    <w:rsid w:val="00B55C56"/>
    <w:rsid w:val="00B91002"/>
    <w:rsid w:val="00BA7138"/>
    <w:rsid w:val="00BC0B2B"/>
    <w:rsid w:val="00BC0E6F"/>
    <w:rsid w:val="00BE315D"/>
    <w:rsid w:val="00BE7730"/>
    <w:rsid w:val="00C10247"/>
    <w:rsid w:val="00C1531A"/>
    <w:rsid w:val="00C200B7"/>
    <w:rsid w:val="00C20819"/>
    <w:rsid w:val="00C4393F"/>
    <w:rsid w:val="00C44053"/>
    <w:rsid w:val="00C44E66"/>
    <w:rsid w:val="00C51E85"/>
    <w:rsid w:val="00C569DA"/>
    <w:rsid w:val="00C74482"/>
    <w:rsid w:val="00C81874"/>
    <w:rsid w:val="00C81CA8"/>
    <w:rsid w:val="00C83B4C"/>
    <w:rsid w:val="00C92859"/>
    <w:rsid w:val="00CA10E6"/>
    <w:rsid w:val="00CA5933"/>
    <w:rsid w:val="00CB54E2"/>
    <w:rsid w:val="00CC7BEA"/>
    <w:rsid w:val="00CD7E19"/>
    <w:rsid w:val="00CE0060"/>
    <w:rsid w:val="00CE271E"/>
    <w:rsid w:val="00CF5165"/>
    <w:rsid w:val="00D035E4"/>
    <w:rsid w:val="00D271D3"/>
    <w:rsid w:val="00D4787D"/>
    <w:rsid w:val="00D633D7"/>
    <w:rsid w:val="00D65021"/>
    <w:rsid w:val="00D73390"/>
    <w:rsid w:val="00D92474"/>
    <w:rsid w:val="00DA087E"/>
    <w:rsid w:val="00DB1B93"/>
    <w:rsid w:val="00DC1C65"/>
    <w:rsid w:val="00DE113E"/>
    <w:rsid w:val="00DF6D2F"/>
    <w:rsid w:val="00E003A2"/>
    <w:rsid w:val="00E32EB4"/>
    <w:rsid w:val="00E702A5"/>
    <w:rsid w:val="00E735FD"/>
    <w:rsid w:val="00E8486E"/>
    <w:rsid w:val="00EA5635"/>
    <w:rsid w:val="00EA565C"/>
    <w:rsid w:val="00EC52EE"/>
    <w:rsid w:val="00ED32BA"/>
    <w:rsid w:val="00ED6FF1"/>
    <w:rsid w:val="00EE73D3"/>
    <w:rsid w:val="00F02496"/>
    <w:rsid w:val="00F03A5B"/>
    <w:rsid w:val="00F07742"/>
    <w:rsid w:val="00F10DFF"/>
    <w:rsid w:val="00F547FA"/>
    <w:rsid w:val="00F8761B"/>
    <w:rsid w:val="00FA0130"/>
    <w:rsid w:val="00FB650B"/>
    <w:rsid w:val="00FC529E"/>
    <w:rsid w:val="00FC736F"/>
    <w:rsid w:val="00FD6F13"/>
    <w:rsid w:val="00FE50BF"/>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D2204"/>
  <w15:chartTrackingRefBased/>
  <w15:docId w15:val="{C21590E1-0E7A-5843-BB4A-344D8A4E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4CF"/>
    <w:pPr>
      <w:tabs>
        <w:tab w:val="center" w:pos="4680"/>
        <w:tab w:val="right" w:pos="9360"/>
      </w:tabs>
    </w:pPr>
  </w:style>
  <w:style w:type="character" w:customStyle="1" w:styleId="HeaderChar">
    <w:name w:val="Header Char"/>
    <w:basedOn w:val="DefaultParagraphFont"/>
    <w:link w:val="Header"/>
    <w:uiPriority w:val="99"/>
    <w:rsid w:val="007304CF"/>
  </w:style>
  <w:style w:type="paragraph" w:styleId="Footer">
    <w:name w:val="footer"/>
    <w:basedOn w:val="Normal"/>
    <w:link w:val="FooterChar"/>
    <w:uiPriority w:val="99"/>
    <w:unhideWhenUsed/>
    <w:rsid w:val="007304CF"/>
    <w:pPr>
      <w:tabs>
        <w:tab w:val="center" w:pos="4680"/>
        <w:tab w:val="right" w:pos="9360"/>
      </w:tabs>
    </w:pPr>
  </w:style>
  <w:style w:type="character" w:customStyle="1" w:styleId="FooterChar">
    <w:name w:val="Footer Char"/>
    <w:basedOn w:val="DefaultParagraphFont"/>
    <w:link w:val="Footer"/>
    <w:uiPriority w:val="99"/>
    <w:rsid w:val="007304CF"/>
  </w:style>
  <w:style w:type="paragraph" w:styleId="NoSpacing">
    <w:name w:val="No Spacing"/>
    <w:uiPriority w:val="1"/>
    <w:qFormat/>
    <w:rsid w:val="007304CF"/>
    <w:rPr>
      <w:sz w:val="22"/>
      <w:szCs w:val="22"/>
    </w:rPr>
  </w:style>
  <w:style w:type="paragraph" w:styleId="ListParagraph">
    <w:name w:val="List Paragraph"/>
    <w:basedOn w:val="Normal"/>
    <w:uiPriority w:val="34"/>
    <w:qFormat/>
    <w:rsid w:val="00825D1B"/>
    <w:pPr>
      <w:ind w:left="720"/>
      <w:contextualSpacing/>
    </w:pPr>
  </w:style>
  <w:style w:type="paragraph" w:styleId="Revision">
    <w:name w:val="Revision"/>
    <w:hidden/>
    <w:uiPriority w:val="99"/>
    <w:semiHidden/>
    <w:rsid w:val="00A73919"/>
  </w:style>
  <w:style w:type="character" w:styleId="CommentReference">
    <w:name w:val="annotation reference"/>
    <w:basedOn w:val="DefaultParagraphFont"/>
    <w:uiPriority w:val="99"/>
    <w:semiHidden/>
    <w:unhideWhenUsed/>
    <w:rsid w:val="00AD5A23"/>
    <w:rPr>
      <w:sz w:val="16"/>
      <w:szCs w:val="16"/>
    </w:rPr>
  </w:style>
  <w:style w:type="paragraph" w:styleId="CommentText">
    <w:name w:val="annotation text"/>
    <w:basedOn w:val="Normal"/>
    <w:link w:val="CommentTextChar"/>
    <w:uiPriority w:val="99"/>
    <w:unhideWhenUsed/>
    <w:rsid w:val="00AD5A23"/>
    <w:rPr>
      <w:sz w:val="20"/>
      <w:szCs w:val="20"/>
    </w:rPr>
  </w:style>
  <w:style w:type="character" w:customStyle="1" w:styleId="CommentTextChar">
    <w:name w:val="Comment Text Char"/>
    <w:basedOn w:val="DefaultParagraphFont"/>
    <w:link w:val="CommentText"/>
    <w:uiPriority w:val="99"/>
    <w:rsid w:val="00AD5A23"/>
    <w:rPr>
      <w:sz w:val="20"/>
      <w:szCs w:val="20"/>
    </w:rPr>
  </w:style>
  <w:style w:type="paragraph" w:styleId="CommentSubject">
    <w:name w:val="annotation subject"/>
    <w:basedOn w:val="CommentText"/>
    <w:next w:val="CommentText"/>
    <w:link w:val="CommentSubjectChar"/>
    <w:uiPriority w:val="99"/>
    <w:semiHidden/>
    <w:unhideWhenUsed/>
    <w:rsid w:val="00AD5A23"/>
    <w:rPr>
      <w:b/>
      <w:bCs/>
    </w:rPr>
  </w:style>
  <w:style w:type="character" w:customStyle="1" w:styleId="CommentSubjectChar">
    <w:name w:val="Comment Subject Char"/>
    <w:basedOn w:val="CommentTextChar"/>
    <w:link w:val="CommentSubject"/>
    <w:uiPriority w:val="99"/>
    <w:semiHidden/>
    <w:rsid w:val="00AD5A23"/>
    <w:rPr>
      <w:b/>
      <w:bCs/>
      <w:sz w:val="20"/>
      <w:szCs w:val="20"/>
    </w:rPr>
  </w:style>
  <w:style w:type="paragraph" w:styleId="Caption">
    <w:name w:val="caption"/>
    <w:basedOn w:val="Normal"/>
    <w:next w:val="Normal"/>
    <w:uiPriority w:val="35"/>
    <w:unhideWhenUsed/>
    <w:qFormat/>
    <w:rsid w:val="00DC1C65"/>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12634A"/>
    <w:rPr>
      <w:sz w:val="20"/>
      <w:szCs w:val="20"/>
    </w:rPr>
  </w:style>
  <w:style w:type="character" w:customStyle="1" w:styleId="FootnoteTextChar">
    <w:name w:val="Footnote Text Char"/>
    <w:basedOn w:val="DefaultParagraphFont"/>
    <w:link w:val="FootnoteText"/>
    <w:uiPriority w:val="99"/>
    <w:semiHidden/>
    <w:rsid w:val="0012634A"/>
    <w:rPr>
      <w:sz w:val="20"/>
      <w:szCs w:val="20"/>
    </w:rPr>
  </w:style>
  <w:style w:type="character" w:styleId="FootnoteReference">
    <w:name w:val="footnote reference"/>
    <w:basedOn w:val="DefaultParagraphFont"/>
    <w:uiPriority w:val="99"/>
    <w:semiHidden/>
    <w:unhideWhenUsed/>
    <w:rsid w:val="0012634A"/>
    <w:rPr>
      <w:vertAlign w:val="superscript"/>
    </w:rPr>
  </w:style>
  <w:style w:type="character" w:styleId="Hyperlink">
    <w:name w:val="Hyperlink"/>
    <w:basedOn w:val="DefaultParagraphFont"/>
    <w:uiPriority w:val="99"/>
    <w:unhideWhenUsed/>
    <w:rsid w:val="0012634A"/>
    <w:rPr>
      <w:color w:val="0000FF"/>
      <w:u w:val="single"/>
    </w:rPr>
  </w:style>
  <w:style w:type="character" w:styleId="UnresolvedMention">
    <w:name w:val="Unresolved Mention"/>
    <w:basedOn w:val="DefaultParagraphFont"/>
    <w:uiPriority w:val="99"/>
    <w:semiHidden/>
    <w:unhideWhenUsed/>
    <w:rsid w:val="00392AA0"/>
    <w:rPr>
      <w:color w:val="605E5C"/>
      <w:shd w:val="clear" w:color="auto" w:fill="E1DFDD"/>
    </w:rPr>
  </w:style>
  <w:style w:type="character" w:styleId="FollowedHyperlink">
    <w:name w:val="FollowedHyperlink"/>
    <w:basedOn w:val="DefaultParagraphFont"/>
    <w:uiPriority w:val="99"/>
    <w:semiHidden/>
    <w:unhideWhenUsed/>
    <w:rsid w:val="004B2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rs.org/issued-standards/sasb-standards/" TargetMode="External"/><Relationship Id="rId7" Type="http://schemas.openxmlformats.org/officeDocument/2006/relationships/hyperlink" Target="https://www.fiducientadvisors.com/blog/greenwashing-in-esg-dont-judge-a-book-by-its-cover" TargetMode="External"/><Relationship Id="rId2" Type="http://schemas.openxmlformats.org/officeDocument/2006/relationships/hyperlink" Target="https://www.nysscpa.org/news/publications/the-trusted-professional/article/iirc-sasb-merger-complete-new-value-reporting-foundation-takes-flight-060921" TargetMode="External"/><Relationship Id="rId1" Type="http://schemas.openxmlformats.org/officeDocument/2006/relationships/hyperlink" Target="https://www.sasb.org/blog/integrating-sasb-standards-into-a-dynamic-esg-composite-score/" TargetMode="External"/><Relationship Id="rId6" Type="http://schemas.openxmlformats.org/officeDocument/2006/relationships/hyperlink" Target="https://www.fiducientadvisors.com/research/esg-data-perspectives-shared-purpose-may-not-lead-to-shared-interpretations" TargetMode="External"/><Relationship Id="rId5" Type="http://schemas.openxmlformats.org/officeDocument/2006/relationships/hyperlink" Target="https://www.sec.gov/news/press-release/2022-91" TargetMode="External"/><Relationship Id="rId4" Type="http://schemas.openxmlformats.org/officeDocument/2006/relationships/hyperlink" Target="https://www.sec.gov/news/press-release/202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DB1783D87464A9B404CD0B0395E0A" ma:contentTypeVersion="18" ma:contentTypeDescription="Create a new document." ma:contentTypeScope="" ma:versionID="475e2af9b9bc2cc5c69b92a08127a97c">
  <xsd:schema xmlns:xsd="http://www.w3.org/2001/XMLSchema" xmlns:xs="http://www.w3.org/2001/XMLSchema" xmlns:p="http://schemas.microsoft.com/office/2006/metadata/properties" xmlns:ns2="33fab394-02e0-4ba3-bffe-ef4c7e43a17d" xmlns:ns3="92a00fd0-dbbf-47cb-a3b4-b75bb2e40b87" targetNamespace="http://schemas.microsoft.com/office/2006/metadata/properties" ma:root="true" ma:fieldsID="be234b0e94cb26fd77014c6044617b0d" ns2:_="" ns3:_="">
    <xsd:import namespace="33fab394-02e0-4ba3-bffe-ef4c7e43a17d"/>
    <xsd:import namespace="92a00fd0-dbbf-47cb-a3b4-b75bb2e40b87"/>
    <xsd:element name="properties">
      <xsd:complexType>
        <xsd:sequence>
          <xsd:element name="documentManagement">
            <xsd:complexType>
              <xsd:all>
                <xsd:element ref="ns2:DocumentType"/>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Return_x0020_to_x0020_Offic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ab394-02e0-4ba3-bffe-ef4c7e43a17d" elementFormDefault="qualified">
    <xsd:import namespace="http://schemas.microsoft.com/office/2006/documentManagement/types"/>
    <xsd:import namespace="http://schemas.microsoft.com/office/infopath/2007/PartnerControls"/>
    <xsd:element name="DocumentType" ma:index="8" ma:displayName="Document Type" ma:format="Dropdown" ma:internalName="DocumentType">
      <xsd:simpleType>
        <xsd:union memberTypes="dms:Text">
          <xsd:simpleType>
            <xsd:restriction base="dms:Choice">
              <xsd:enumeration value="1 - Return to Office"/>
              <xsd:enumeration value="3 - Calendars"/>
              <xsd:enumeration value="2 - Directories &amp; Lists"/>
              <xsd:enumeration value="8 - Diversity &amp; Inclusion Resources"/>
              <xsd:enumeration value="4 - Policies"/>
              <xsd:enumeration value="5 - Health, Well-Being, Benefits &amp; Perks"/>
              <xsd:enumeration value="6 - Guides &amp; Resources"/>
              <xsd:enumeration value="9 - Learning &amp; Development"/>
              <xsd:enumeration value="New Hire Resources"/>
              <xsd:enumeration value="10 - Office &amp; Facilities Information"/>
              <xsd:enumeration value="7 - Talent Acquisition"/>
              <xsd:enumeration value="1-D Fiducient PPT Templates"/>
              <xsd:enumeration value="Institutional Consultant Meeting Notes"/>
              <xsd:enumeration value="All Clients"/>
              <xsd:enumeration value="Case Studies"/>
              <xsd:enumeration value="Defined Benefit"/>
              <xsd:enumeration value="Defined Contribution"/>
              <xsd:enumeration value="Discretionary Trustee-Directed"/>
              <xsd:enumeration value="Fiduciary Education"/>
              <xsd:enumeration value="Financial Wellness Training"/>
              <xsd:enumeration value="Nonprofit / Trustee-Directed"/>
              <xsd:enumeration value="Sales &amp; Business Development (Inst)"/>
              <xsd:enumeration value="Vendor Search"/>
              <xsd:enumeration value="Centers of Influence"/>
              <xsd:enumeration value="Client Intro Documents"/>
              <xsd:enumeration value="Client Portfolio Analysis"/>
              <xsd:enumeration value="Financial Planning"/>
              <xsd:enumeration value="Industry Pricing &amp; Trends"/>
              <xsd:enumeration value="Margin Agreements"/>
              <xsd:enumeration value="Meeting Preparation"/>
              <xsd:enumeration value="Miscellaneous"/>
              <xsd:enumeration value="New Client"/>
              <xsd:enumeration value="Sales &amp; Business Development (TWO)"/>
              <xsd:enumeration value="Case Studies (TWO)"/>
              <xsd:enumeration value="Cash Support Materials"/>
              <xsd:enumeration value="Investment Manager Research"/>
              <xsd:enumeration value="Market/Asset Class Insights"/>
              <xsd:enumeration value="Marketing/Communications"/>
              <xsd:enumeration value="Templates"/>
              <xsd:enumeration value="Black Diamond Training - Client Portal/Reporting"/>
              <xsd:enumeration value="Black Diamond Training - Data Management"/>
              <xsd:enumeration value="Black Diamond Training - Data Mining"/>
              <xsd:enumeration value="Black Diamond Training - Portfolio View"/>
              <xsd:enumeration value="Black Diamond Training - Setup"/>
              <xsd:enumeration value="Black Diamond Training Videos"/>
              <xsd:enumeration value="PARis Training"/>
              <xsd:enumeration value="Training - Analytics"/>
              <xsd:enumeration value="Training - Axys"/>
              <xsd:enumeration value="1 - B Fiducient PPT Templates"/>
              <xsd:enumeration value="Compliance"/>
              <xsd:enumeration value="Desktop Procedures and Checklists"/>
              <xsd:enumeration value="Disclosures"/>
              <xsd:enumeration value="Forms"/>
              <xsd:enumeration value="Performance Templates"/>
              <xsd:enumeration value="1 - A Fiducient"/>
              <xsd:enumeration value="1 - B Fiducient Logos"/>
              <xsd:enumeration value="1 - B Fiducient PPT Templates"/>
              <xsd:enumeration value="1 - C Fiducient Core Marketing Docs"/>
              <xsd:enumeration value="Associate Biographies"/>
              <xsd:enumeration value="Book Chapters"/>
              <xsd:enumeration value="Instructions"/>
              <xsd:enumeration value="Thank You Templates"/>
              <xsd:enumeration value="Videos"/>
              <xsd:enumeration value="Research and Insights Calendar"/>
              <xsd:enumeration value="2020 Pullback"/>
              <xsd:enumeration value="Flash Memo Videos"/>
              <xsd:enumeration value="Manager/Asset Class Reviews"/>
              <xsd:enumeration value="Market Commentary"/>
              <xsd:enumeration value="Market Insights"/>
              <xsd:enumeration value="Market Performance"/>
              <xsd:enumeration value="Mission-Aligned Investing - Core Presentations"/>
              <xsd:enumeration value="Mission-Aligned Investing - Core Research Papers"/>
              <xsd:enumeration value="Quarterly Considerations"/>
              <xsd:enumeration value="Quarterly Template"/>
              <xsd:enumeration value="Research"/>
              <xsd:enumeration value="CRM - General"/>
              <xsd:enumeration value="CRM - How To Training Videos"/>
              <xsd:enumeration value="General Questions"/>
              <xsd:enumeration value="Installs and Enrollments"/>
              <xsd:enumeration value="Outlook"/>
              <xsd:enumeration value="Phones"/>
              <xsd:enumeration value="Remote Access"/>
              <xsd:enumeration value="Zoom"/>
              <xsd:enumeration value="Access Folders"/>
              <xsd:enumeration value="Client Service"/>
              <xsd:enumeration value="CRM Training"/>
              <xsd:enumeration value="DSA Knowledge Links"/>
              <xsd:enumeration value="Getting to Know the Firm"/>
              <xsd:enumeration value="Institutional Training"/>
              <xsd:enumeration value="Onboarding"/>
              <xsd:enumeration value="Professional Skills Development"/>
              <xsd:enumeration value="Sales &amp; Business Development"/>
              <xsd:enumeration value="Software Training"/>
              <xsd:enumeration value="1 - B Firm at a Glance"/>
              <xsd:enumeration value="Branding Guidelines"/>
              <xsd:enumeration value="Calendars"/>
              <xsd:enumeration value="Diversity &amp; Inclusion Resources"/>
              <xsd:enumeration value="Logos and Backgrounds"/>
              <xsd:enumeration value="Pitchbooks"/>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6fa849-9aee-4305-8228-d5ef1c313dd4" ma:termSetId="09814cd3-568e-fe90-9814-8d621ff8fb84" ma:anchorId="fba54fb3-c3e1-fe81-a776-ca4b69148c4d" ma:open="true" ma:isKeyword="false">
      <xsd:complexType>
        <xsd:sequence>
          <xsd:element ref="pc:Terms" minOccurs="0" maxOccurs="1"/>
        </xsd:sequence>
      </xsd:complexType>
    </xsd:element>
    <xsd:element name="Return_x0020_to_x0020_Office" ma:index="23" nillable="true" ma:displayName="Return to Office" ma:internalName="Return_x0020_to_x0020_Office">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a00fd0-dbbf-47cb-a3b4-b75bb2e40b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9d524c9-987e-4381-932e-a63d9ab98bcd}" ma:internalName="TaxCatchAll" ma:showField="CatchAllData" ma:web="92a00fd0-dbbf-47cb-a3b4-b75bb2e40b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33fab394-02e0-4ba3-bffe-ef4c7e43a17d">1 - C Fiducient Core Marketing Docs</DocumentType>
    <Return_x0020_to_x0020_Office xmlns="33fab394-02e0-4ba3-bffe-ef4c7e43a17d" xsi:nil="true"/>
    <TaxCatchAll xmlns="92a00fd0-dbbf-47cb-a3b4-b75bb2e40b87" xsi:nil="true"/>
    <lcf76f155ced4ddcb4097134ff3c332f xmlns="33fab394-02e0-4ba3-bffe-ef4c7e43a1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F773D0-5B95-431A-933F-94CA69344C4F}">
  <ds:schemaRefs>
    <ds:schemaRef ds:uri="http://schemas.openxmlformats.org/officeDocument/2006/bibliography"/>
  </ds:schemaRefs>
</ds:datastoreItem>
</file>

<file path=customXml/itemProps2.xml><?xml version="1.0" encoding="utf-8"?>
<ds:datastoreItem xmlns:ds="http://schemas.openxmlformats.org/officeDocument/2006/customXml" ds:itemID="{0DBF1F85-5403-413F-A3DE-FB30EDAB4B5C}">
  <ds:schemaRefs>
    <ds:schemaRef ds:uri="http://schemas.microsoft.com/sharepoint/v3/contenttype/forms"/>
  </ds:schemaRefs>
</ds:datastoreItem>
</file>

<file path=customXml/itemProps3.xml><?xml version="1.0" encoding="utf-8"?>
<ds:datastoreItem xmlns:ds="http://schemas.openxmlformats.org/officeDocument/2006/customXml" ds:itemID="{D3F95E1F-77D7-4079-9198-707636E6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ab394-02e0-4ba3-bffe-ef4c7e43a17d"/>
    <ds:schemaRef ds:uri="92a00fd0-dbbf-47cb-a3b4-b75bb2e40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2C427-4F0B-4DF2-8A75-5462BD066FA4}">
  <ds:schemaRefs>
    <ds:schemaRef ds:uri="http://schemas.microsoft.com/office/2006/metadata/properties"/>
    <ds:schemaRef ds:uri="http://schemas.microsoft.com/office/infopath/2007/PartnerControls"/>
    <ds:schemaRef ds:uri="33fab394-02e0-4ba3-bffe-ef4c7e43a17d"/>
    <ds:schemaRef ds:uri="92a00fd0-dbbf-47cb-a3b4-b75bb2e40b8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Woertz</dc:creator>
  <cp:keywords/>
  <dc:description/>
  <cp:lastModifiedBy>Linsey Carsey</cp:lastModifiedBy>
  <cp:revision>4</cp:revision>
  <dcterms:created xsi:type="dcterms:W3CDTF">2023-02-10T16:14:00Z</dcterms:created>
  <dcterms:modified xsi:type="dcterms:W3CDTF">2023-03-06T17:52:00Z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0x0101002B5DB1783D87464A9B404CD0B0395E0A</vt:lpwstr>
  </property>
  <property fmtid="{D5CDD505-2E9C-101B-9397-08002B2CF9AE}" pid="3" name="GrammarlyDocumentId">
    <vt:lpwstr>0c4f3a14e4090e34c78538f6dfb67e00e2bfeaf21f141c3a7730572a1c793fab</vt:lpwstr>
  </property>
</Properties>
</file>